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2CA" w:rsidRPr="00A332CA" w:rsidRDefault="00524C6B" w:rsidP="00A332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4C6B">
        <w:rPr>
          <w:rFonts w:ascii="Simplified Arabic" w:hAnsi="Simplified Arabic"/>
          <w:color w:val="0000FF"/>
          <w:sz w:val="28"/>
          <w:szCs w:val="28"/>
          <w:rtl/>
        </w:rPr>
        <w:t>دخول الخلاء والاستطابة</w:t>
      </w:r>
    </w:p>
    <w:p w:rsidR="00A332CA" w:rsidRPr="00A332CA" w:rsidRDefault="00A332CA" w:rsidP="00A332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332CA">
        <w:rPr>
          <w:rFonts w:ascii="Simplified Arabic" w:hAnsi="Simplified Arabic" w:hint="cs"/>
          <w:color w:val="0000FF"/>
          <w:sz w:val="28"/>
          <w:szCs w:val="28"/>
          <w:rtl/>
        </w:rPr>
        <w:t>الاستنجاء قبل الوضوء من غير بول ولا غائط</w:t>
      </w:r>
    </w:p>
    <w:p w:rsidR="00A332CA" w:rsidRPr="00A332CA" w:rsidRDefault="00A332CA" w:rsidP="00A332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54320" w:rsidRPr="00A332CA" w:rsidRDefault="00A332CA" w:rsidP="00A332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332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54320" w:rsidRPr="00A332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4320" w:rsidRPr="00A332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المتوضئ أن يستنجي قبل الوضوء ولو لم يتبوّ</w:t>
      </w:r>
      <w:r w:rsidR="00524C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bookmarkStart w:id="0" w:name="_GoBack"/>
      <w:bookmarkEnd w:id="0"/>
      <w:r w:rsidR="00A54320" w:rsidRPr="00A332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ل؟</w:t>
      </w:r>
    </w:p>
    <w:p w:rsidR="00A54320" w:rsidRDefault="00A332CA" w:rsidP="00A332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332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4320" w:rsidRPr="00A332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 لا يلزمه ذلك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 الاستنجاء إنما هو من أجل البول أو الغائط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، فإذا 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>لم يوجد بول ولا غائط فإنه حينئذٍ لا يلزم الاستنجاء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 وإنما ي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>شرع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>مباشرة في الوضوء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 وبعض العامة 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يظن أن الاستنجاء من فروض الوضوء و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>هذا ليس بصحيح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، فالله </w:t>
      </w:r>
      <w:r w:rsidRPr="00A332CA">
        <w:rPr>
          <w:rFonts w:ascii="Simplified Arabic" w:hAnsi="Simplified Arabic" w:cs="Simplified Arabic"/>
          <w:sz w:val="28"/>
          <w:szCs w:val="28"/>
          <w:rtl/>
        </w:rPr>
        <w:t>–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جل وعلا- </w:t>
      </w:r>
      <w:r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A332C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A332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إِذَا قُمْتُمْ إِلَى الصَّلاةِ فاغْسِلُواْ وُجُوهَكُمْ</w:t>
      </w:r>
      <w:r w:rsidRPr="00A332C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A54320" w:rsidRPr="00A332CA">
        <w:rPr>
          <w:rFonts w:ascii="Simplified Arabic" w:hAnsi="Simplified Arabic" w:cs="Simplified Arabic"/>
          <w:sz w:val="28"/>
          <w:szCs w:val="28"/>
          <w:rtl/>
        </w:rPr>
        <w:t>المائدة: ٦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>ما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>اغسلوا فروجكم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A54320" w:rsidRPr="00A332CA">
        <w:rPr>
          <w:rFonts w:ascii="Simplified Arabic" w:hAnsi="Simplified Arabic" w:cs="Simplified Arabic" w:hint="cs"/>
          <w:sz w:val="28"/>
          <w:szCs w:val="28"/>
          <w:rtl/>
        </w:rPr>
        <w:t xml:space="preserve"> والاستنجاء إنما هو من أجل البول أو الغائط.</w:t>
      </w:r>
    </w:p>
    <w:p w:rsidR="00A332CA" w:rsidRPr="00A332CA" w:rsidRDefault="00A332CA" w:rsidP="00A332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A332CA" w:rsidRDefault="00A54320" w:rsidP="00A54320">
      <w:pPr>
        <w:rPr>
          <w:rFonts w:ascii="Simplified Arabic" w:hAnsi="Simplified Arabic" w:cs="Simplified Arabic"/>
          <w:sz w:val="28"/>
          <w:szCs w:val="28"/>
        </w:rPr>
      </w:pPr>
      <w:r w:rsidRPr="00A332CA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الثامنة والثمانون</w:t>
      </w:r>
      <w:r w:rsidRPr="00A332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A332CA">
        <w:rPr>
          <w:rFonts w:ascii="Simplified Arabic" w:hAnsi="Simplified Arabic" w:cs="Simplified Arabic"/>
          <w:sz w:val="28"/>
          <w:szCs w:val="28"/>
          <w:rtl/>
        </w:rPr>
        <w:t>/</w:t>
      </w:r>
      <w:r w:rsidRPr="00A332CA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A332C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A332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5F2B3A-B5A6-47F5-8008-E19316000DAA}"/>
    <w:embedBold r:id="rId2" w:fontKey="{9B89877C-CC7A-4E91-AA2E-05AB6B95BA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EC0A52-A947-45D9-B810-DFBD6208C8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1F9E844-07C1-499C-AD38-BA678FB9BD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442C88B-98B4-4AC4-98CD-498856C81704}"/>
    <w:embedBold r:id="rId6" w:fontKey="{302DB186-CFFE-45B0-A298-7FA181663C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25BAF8B-EC4D-43FB-8284-FD15D893BE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C6C538E-F10B-46F0-9027-2BBB77EC0F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32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4C6B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2CA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320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48529F"/>
  <w15:docId w15:val="{35F6E143-6A69-453A-92B3-C464F03BF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32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2013-02-03T05:36:00Z</dcterms:created>
  <dcterms:modified xsi:type="dcterms:W3CDTF">2019-07-14T14:01:00Z</dcterms:modified>
</cp:coreProperties>
</file>