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4A341" w14:textId="77777777" w:rsidR="004D1294" w:rsidRPr="008D3C34" w:rsidRDefault="004D1294" w:rsidP="004D1294">
      <w:pPr>
        <w:framePr w:hSpace="180" w:wrap="around" w:vAnchor="text" w:hAnchor="text" w:xAlign="center" w:y="1"/>
        <w:spacing w:line="240" w:lineRule="atLeast"/>
        <w:suppressOverlap/>
        <w:jc w:val="center"/>
        <w:rPr>
          <w:rFonts w:ascii="Traditional Arabic" w:hAnsi="Traditional Arabic"/>
          <w:b/>
          <w:bCs/>
          <w:sz w:val="28"/>
          <w:szCs w:val="28"/>
          <w:rtl/>
        </w:rPr>
      </w:pPr>
      <w:r w:rsidRPr="008D3C34">
        <w:rPr>
          <w:rFonts w:ascii="Traditional Arabic" w:hAnsi="Traditional Arabic" w:hint="cs"/>
          <w:b/>
          <w:bCs/>
          <w:sz w:val="28"/>
          <w:szCs w:val="28"/>
          <w:rtl/>
        </w:rPr>
        <w:t>[</w:t>
      </w:r>
      <w:r>
        <w:rPr>
          <w:rFonts w:ascii="Traditional Arabic" w:hAnsi="Traditional Arabic" w:hint="cs"/>
          <w:b/>
          <w:bCs/>
          <w:sz w:val="28"/>
          <w:szCs w:val="28"/>
          <w:rtl/>
        </w:rPr>
        <w:t>اختلاف الروايات في مساحة حوض النبي صلى الله عليه وسلم</w:t>
      </w:r>
      <w:r w:rsidRPr="008D3C34">
        <w:rPr>
          <w:rFonts w:ascii="Traditional Arabic" w:hAnsi="Traditional Arabic" w:hint="cs"/>
          <w:b/>
          <w:bCs/>
          <w:sz w:val="28"/>
          <w:szCs w:val="28"/>
          <w:rtl/>
        </w:rPr>
        <w:t>]</w:t>
      </w:r>
    </w:p>
    <w:p w14:paraId="22C15250" w14:textId="77777777" w:rsidR="00306124" w:rsidRDefault="00306124" w:rsidP="00306124">
      <w:pPr>
        <w:tabs>
          <w:tab w:val="left" w:pos="3466"/>
          <w:tab w:val="left" w:pos="11164"/>
        </w:tabs>
        <w:jc w:val="both"/>
        <w:rPr>
          <w:rFonts w:ascii="Traditional Arabic" w:hAnsi="Traditional Arabic"/>
          <w:sz w:val="28"/>
          <w:szCs w:val="28"/>
        </w:rPr>
      </w:pPr>
    </w:p>
    <w:p w14:paraId="72B865CB" w14:textId="39E1B3F3" w:rsidR="00306124" w:rsidRDefault="00306124" w:rsidP="00306124">
      <w:pPr>
        <w:tabs>
          <w:tab w:val="left" w:pos="3466"/>
          <w:tab w:val="left" w:pos="11164"/>
        </w:tabs>
        <w:jc w:val="both"/>
        <w:rPr>
          <w:rFonts w:ascii="Traditional Arabic" w:hAnsi="Traditional Arabic"/>
          <w:sz w:val="28"/>
          <w:szCs w:val="28"/>
          <w:rtl/>
        </w:rPr>
      </w:pPr>
      <w:r>
        <w:rPr>
          <w:rFonts w:ascii="Traditional Arabic" w:hAnsi="Traditional Arabic" w:hint="cs"/>
          <w:sz w:val="28"/>
          <w:szCs w:val="28"/>
          <w:rtl/>
        </w:rPr>
        <w:t xml:space="preserve">جاء في صحيح مسلم </w:t>
      </w:r>
      <w:r w:rsidRPr="00573DDF">
        <w:rPr>
          <w:rFonts w:ascii="Traditional Arabic" w:hAnsi="Traditional Arabic"/>
          <w:sz w:val="28"/>
          <w:szCs w:val="28"/>
          <w:rtl/>
        </w:rPr>
        <w:t xml:space="preserve">أن مساحة الحوض </w:t>
      </w:r>
      <w:r w:rsidRPr="00C144FA">
        <w:rPr>
          <w:rFonts w:ascii="Traditional Arabic" w:hAnsi="Traditional Arabic"/>
          <w:color w:val="0000FF"/>
          <w:sz w:val="28"/>
          <w:szCs w:val="28"/>
          <w:rtl/>
        </w:rPr>
        <w:t>«ما بين عَمّان إلى أيلة»</w:t>
      </w:r>
      <w:r w:rsidRPr="00573DDF">
        <w:rPr>
          <w:rFonts w:ascii="Traditional Arabic" w:hAnsi="Traditional Arabic"/>
          <w:sz w:val="28"/>
          <w:szCs w:val="28"/>
          <w:rtl/>
        </w:rPr>
        <w:t xml:space="preserve"> </w:t>
      </w:r>
      <w:r w:rsidRPr="00573DDF">
        <w:rPr>
          <w:rFonts w:ascii="Traditional Arabic" w:hAnsi="Traditional Arabic" w:hint="cs"/>
          <w:sz w:val="20"/>
          <w:szCs w:val="20"/>
          <w:rtl/>
        </w:rPr>
        <w:t>[</w:t>
      </w:r>
      <w:r w:rsidRPr="00CF63F3">
        <w:rPr>
          <w:rFonts w:ascii="Traditional Arabic" w:hAnsi="Traditional Arabic"/>
          <w:sz w:val="20"/>
          <w:szCs w:val="20"/>
          <w:rtl/>
        </w:rPr>
        <w:t>مسلم (2300)</w:t>
      </w:r>
      <w:r w:rsidRPr="00573DDF">
        <w:rPr>
          <w:rFonts w:ascii="Traditional Arabic" w:hAnsi="Traditional Arabic" w:hint="cs"/>
          <w:sz w:val="20"/>
          <w:szCs w:val="20"/>
          <w:rtl/>
        </w:rPr>
        <w:t>]</w:t>
      </w:r>
      <w:r>
        <w:rPr>
          <w:rFonts w:ascii="Traditional Arabic" w:hAnsi="Traditional Arabic" w:hint="cs"/>
          <w:sz w:val="28"/>
          <w:szCs w:val="28"/>
          <w:rtl/>
        </w:rPr>
        <w:t xml:space="preserve">، </w:t>
      </w:r>
      <w:r w:rsidRPr="00573DDF">
        <w:rPr>
          <w:rFonts w:ascii="Traditional Arabic" w:hAnsi="Traditional Arabic"/>
          <w:sz w:val="28"/>
          <w:szCs w:val="28"/>
          <w:rtl/>
        </w:rPr>
        <w:t xml:space="preserve">وفي الصحيحين: </w:t>
      </w:r>
      <w:r w:rsidRPr="00C144FA">
        <w:rPr>
          <w:rFonts w:ascii="Traditional Arabic" w:hAnsi="Traditional Arabic"/>
          <w:color w:val="0000FF"/>
          <w:sz w:val="28"/>
          <w:szCs w:val="28"/>
          <w:rtl/>
        </w:rPr>
        <w:t>«كما بين صنعاء والمدينة»</w:t>
      </w:r>
      <w:r>
        <w:rPr>
          <w:rFonts w:ascii="Traditional Arabic" w:hAnsi="Traditional Arabic" w:hint="cs"/>
          <w:sz w:val="28"/>
          <w:szCs w:val="28"/>
          <w:rtl/>
        </w:rPr>
        <w:t xml:space="preserve"> </w:t>
      </w:r>
      <w:r w:rsidRPr="00573DDF">
        <w:rPr>
          <w:rFonts w:ascii="Traditional Arabic" w:hAnsi="Traditional Arabic" w:hint="cs"/>
          <w:sz w:val="20"/>
          <w:szCs w:val="20"/>
          <w:rtl/>
        </w:rPr>
        <w:t>[</w:t>
      </w:r>
      <w:r w:rsidRPr="00CF63F3">
        <w:rPr>
          <w:rFonts w:ascii="Traditional Arabic" w:hAnsi="Traditional Arabic"/>
          <w:sz w:val="20"/>
          <w:szCs w:val="20"/>
          <w:rtl/>
        </w:rPr>
        <w:t>البخاري (6591)، ومسلم (2298)</w:t>
      </w:r>
      <w:r w:rsidRPr="00573DDF">
        <w:rPr>
          <w:rFonts w:ascii="Traditional Arabic" w:hAnsi="Traditional Arabic" w:hint="cs"/>
          <w:sz w:val="20"/>
          <w:szCs w:val="20"/>
          <w:rtl/>
        </w:rPr>
        <w:t>]</w:t>
      </w:r>
      <w:r>
        <w:rPr>
          <w:rFonts w:ascii="Traditional Arabic" w:hAnsi="Traditional Arabic" w:hint="cs"/>
          <w:sz w:val="28"/>
          <w:szCs w:val="28"/>
          <w:rtl/>
        </w:rPr>
        <w:t xml:space="preserve">، </w:t>
      </w:r>
      <w:r w:rsidRPr="00573DDF">
        <w:rPr>
          <w:rFonts w:ascii="Traditional Arabic" w:hAnsi="Traditional Arabic"/>
          <w:sz w:val="28"/>
          <w:szCs w:val="28"/>
          <w:rtl/>
        </w:rPr>
        <w:t xml:space="preserve">وفي رواية: </w:t>
      </w:r>
      <w:r w:rsidRPr="00C144FA">
        <w:rPr>
          <w:rFonts w:ascii="Traditional Arabic" w:hAnsi="Traditional Arabic"/>
          <w:color w:val="0000FF"/>
          <w:sz w:val="28"/>
          <w:szCs w:val="28"/>
          <w:rtl/>
        </w:rPr>
        <w:t>«ما بين المدينة وعمّان»</w:t>
      </w:r>
      <w:r>
        <w:rPr>
          <w:rFonts w:ascii="Traditional Arabic" w:hAnsi="Traditional Arabic" w:hint="cs"/>
          <w:sz w:val="28"/>
          <w:szCs w:val="28"/>
          <w:rtl/>
        </w:rPr>
        <w:t xml:space="preserve"> </w:t>
      </w:r>
      <w:r w:rsidRPr="00573DDF">
        <w:rPr>
          <w:rFonts w:ascii="Traditional Arabic" w:hAnsi="Traditional Arabic" w:hint="cs"/>
          <w:sz w:val="20"/>
          <w:szCs w:val="20"/>
          <w:rtl/>
        </w:rPr>
        <w:t>[</w:t>
      </w:r>
      <w:r w:rsidRPr="00CF63F3">
        <w:rPr>
          <w:rFonts w:ascii="Traditional Arabic" w:hAnsi="Traditional Arabic"/>
          <w:sz w:val="20"/>
          <w:szCs w:val="20"/>
          <w:rtl/>
        </w:rPr>
        <w:t>مسلم (42-2303)</w:t>
      </w:r>
      <w:r w:rsidRPr="00573DDF">
        <w:rPr>
          <w:rFonts w:ascii="Traditional Arabic" w:hAnsi="Traditional Arabic" w:hint="cs"/>
          <w:sz w:val="20"/>
          <w:szCs w:val="20"/>
          <w:rtl/>
        </w:rPr>
        <w:t>]</w:t>
      </w:r>
      <w:r>
        <w:rPr>
          <w:rFonts w:ascii="Traditional Arabic" w:hAnsi="Traditional Arabic" w:hint="cs"/>
          <w:sz w:val="28"/>
          <w:szCs w:val="28"/>
          <w:rtl/>
        </w:rPr>
        <w:t xml:space="preserve">، </w:t>
      </w:r>
      <w:r w:rsidRPr="00573DDF">
        <w:rPr>
          <w:rFonts w:ascii="Traditional Arabic" w:hAnsi="Traditional Arabic"/>
          <w:sz w:val="28"/>
          <w:szCs w:val="28"/>
          <w:rtl/>
        </w:rPr>
        <w:t xml:space="preserve">وفي رواية أخرى: </w:t>
      </w:r>
      <w:r w:rsidRPr="00C144FA">
        <w:rPr>
          <w:rFonts w:ascii="Traditional Arabic" w:hAnsi="Traditional Arabic"/>
          <w:color w:val="0000FF"/>
          <w:sz w:val="28"/>
          <w:szCs w:val="28"/>
          <w:rtl/>
        </w:rPr>
        <w:t>«كما بين أيلة وصنعاء من اليمن»</w:t>
      </w:r>
      <w:r>
        <w:rPr>
          <w:rFonts w:ascii="Traditional Arabic" w:hAnsi="Traditional Arabic" w:hint="cs"/>
          <w:sz w:val="28"/>
          <w:szCs w:val="28"/>
          <w:rtl/>
        </w:rPr>
        <w:t xml:space="preserve"> </w:t>
      </w:r>
      <w:r w:rsidRPr="00573DDF">
        <w:rPr>
          <w:rFonts w:ascii="Traditional Arabic" w:hAnsi="Traditional Arabic" w:hint="cs"/>
          <w:sz w:val="20"/>
          <w:szCs w:val="20"/>
          <w:rtl/>
        </w:rPr>
        <w:t>[</w:t>
      </w:r>
      <w:r w:rsidRPr="00CF63F3">
        <w:rPr>
          <w:rFonts w:ascii="Traditional Arabic" w:hAnsi="Traditional Arabic"/>
          <w:sz w:val="20"/>
          <w:szCs w:val="20"/>
          <w:rtl/>
        </w:rPr>
        <w:t>البخاري (6580)، ومسلم ( 39- 2303)</w:t>
      </w:r>
      <w:r w:rsidRPr="00573DDF">
        <w:rPr>
          <w:rFonts w:ascii="Traditional Arabic" w:hAnsi="Traditional Arabic" w:hint="cs"/>
          <w:sz w:val="20"/>
          <w:szCs w:val="20"/>
          <w:rtl/>
        </w:rPr>
        <w:t>]</w:t>
      </w:r>
      <w:r>
        <w:rPr>
          <w:rFonts w:ascii="Traditional Arabic" w:hAnsi="Traditional Arabic" w:hint="cs"/>
          <w:sz w:val="28"/>
          <w:szCs w:val="28"/>
          <w:rtl/>
        </w:rPr>
        <w:t xml:space="preserve">، </w:t>
      </w:r>
      <w:r w:rsidRPr="00573DDF">
        <w:rPr>
          <w:rFonts w:ascii="Traditional Arabic" w:hAnsi="Traditional Arabic"/>
          <w:sz w:val="28"/>
          <w:szCs w:val="28"/>
          <w:rtl/>
        </w:rPr>
        <w:t>وفي مسلم من حديث جابر بن سمرة</w:t>
      </w:r>
      <w:r>
        <w:rPr>
          <w:rFonts w:ascii="Traditional Arabic" w:hAnsi="Traditional Arabic" w:hint="cs"/>
          <w:sz w:val="28"/>
          <w:szCs w:val="28"/>
          <w:rtl/>
        </w:rPr>
        <w:t xml:space="preserve"> رضي الله عنه</w:t>
      </w:r>
      <w:r w:rsidRPr="00573DDF">
        <w:rPr>
          <w:rFonts w:ascii="Traditional Arabic" w:hAnsi="Traditional Arabic"/>
          <w:sz w:val="28"/>
          <w:szCs w:val="28"/>
          <w:rtl/>
        </w:rPr>
        <w:t xml:space="preserve"> </w:t>
      </w:r>
      <w:r w:rsidRPr="00C144FA">
        <w:rPr>
          <w:rFonts w:ascii="Traditional Arabic" w:hAnsi="Traditional Arabic"/>
          <w:color w:val="0000FF"/>
          <w:sz w:val="28"/>
          <w:szCs w:val="28"/>
          <w:rtl/>
        </w:rPr>
        <w:t>«كما بين صنعاء وأيلة»</w:t>
      </w:r>
      <w:r>
        <w:rPr>
          <w:rFonts w:ascii="Traditional Arabic" w:hAnsi="Traditional Arabic" w:hint="cs"/>
          <w:sz w:val="28"/>
          <w:szCs w:val="28"/>
          <w:rtl/>
        </w:rPr>
        <w:t xml:space="preserve"> </w:t>
      </w:r>
      <w:r w:rsidRPr="00573DDF">
        <w:rPr>
          <w:rFonts w:ascii="Traditional Arabic" w:hAnsi="Traditional Arabic" w:hint="cs"/>
          <w:sz w:val="20"/>
          <w:szCs w:val="20"/>
          <w:rtl/>
        </w:rPr>
        <w:t>[</w:t>
      </w:r>
      <w:r w:rsidRPr="00CF63F3">
        <w:rPr>
          <w:rFonts w:ascii="Traditional Arabic" w:hAnsi="Traditional Arabic"/>
          <w:sz w:val="20"/>
          <w:szCs w:val="20"/>
          <w:rtl/>
        </w:rPr>
        <w:t>مسلم (44- 2305)</w:t>
      </w:r>
      <w:r w:rsidRPr="00573DDF">
        <w:rPr>
          <w:rFonts w:ascii="Traditional Arabic" w:hAnsi="Traditional Arabic" w:hint="cs"/>
          <w:sz w:val="20"/>
          <w:szCs w:val="20"/>
          <w:rtl/>
        </w:rPr>
        <w:t>]</w:t>
      </w:r>
      <w:r>
        <w:rPr>
          <w:rFonts w:ascii="Traditional Arabic" w:hAnsi="Traditional Arabic" w:hint="cs"/>
          <w:sz w:val="28"/>
          <w:szCs w:val="28"/>
          <w:rtl/>
        </w:rPr>
        <w:t xml:space="preserve">، </w:t>
      </w:r>
      <w:r w:rsidRPr="00573DDF">
        <w:rPr>
          <w:rFonts w:ascii="Traditional Arabic" w:hAnsi="Traditional Arabic"/>
          <w:sz w:val="28"/>
          <w:szCs w:val="28"/>
          <w:rtl/>
        </w:rPr>
        <w:t>وفي الصحيحين من حديث عبد الله بن عمرو -رضي الله عنهما- قال: قال رسول الله</w:t>
      </w:r>
      <w:r>
        <w:rPr>
          <w:rFonts w:ascii="Traditional Arabic" w:hAnsi="Traditional Arabic" w:hint="cs"/>
          <w:sz w:val="28"/>
          <w:szCs w:val="28"/>
          <w:rtl/>
        </w:rPr>
        <w:t xml:space="preserve"> صلى الله عليه وسلم</w:t>
      </w:r>
      <w:r w:rsidRPr="00573DDF">
        <w:rPr>
          <w:rFonts w:ascii="Traditional Arabic" w:hAnsi="Traditional Arabic"/>
          <w:sz w:val="28"/>
          <w:szCs w:val="28"/>
          <w:rtl/>
        </w:rPr>
        <w:t xml:space="preserve">: </w:t>
      </w:r>
      <w:r w:rsidRPr="00C144FA">
        <w:rPr>
          <w:rFonts w:ascii="Traditional Arabic" w:hAnsi="Traditional Arabic"/>
          <w:color w:val="0000FF"/>
          <w:sz w:val="28"/>
          <w:szCs w:val="28"/>
          <w:rtl/>
        </w:rPr>
        <w:t>«حوضي مسيرة</w:t>
      </w:r>
      <w:r w:rsidRPr="00C144FA">
        <w:rPr>
          <w:rFonts w:ascii="Traditional Arabic" w:hAnsi="Traditional Arabic" w:hint="cs"/>
          <w:color w:val="0000FF"/>
          <w:sz w:val="28"/>
          <w:szCs w:val="28"/>
          <w:rtl/>
        </w:rPr>
        <w:t xml:space="preserve"> شهر</w:t>
      </w:r>
      <w:r w:rsidRPr="00C144FA">
        <w:rPr>
          <w:rFonts w:ascii="Traditional Arabic" w:hAnsi="Traditional Arabic" w:hint="eastAsia"/>
          <w:color w:val="0000FF"/>
          <w:sz w:val="28"/>
          <w:szCs w:val="28"/>
          <w:rtl/>
        </w:rPr>
        <w:t>»</w:t>
      </w:r>
      <w:r>
        <w:rPr>
          <w:rFonts w:ascii="Traditional Arabic" w:hAnsi="Traditional Arabic" w:hint="cs"/>
          <w:sz w:val="28"/>
          <w:szCs w:val="28"/>
          <w:rtl/>
        </w:rPr>
        <w:t xml:space="preserve"> </w:t>
      </w:r>
      <w:r w:rsidRPr="00573DDF">
        <w:rPr>
          <w:rFonts w:ascii="Traditional Arabic" w:hAnsi="Traditional Arabic" w:hint="cs"/>
          <w:sz w:val="20"/>
          <w:szCs w:val="20"/>
          <w:rtl/>
        </w:rPr>
        <w:t>[</w:t>
      </w:r>
      <w:r w:rsidRPr="00CF63F3">
        <w:rPr>
          <w:rFonts w:ascii="Traditional Arabic" w:hAnsi="Traditional Arabic"/>
          <w:sz w:val="20"/>
          <w:szCs w:val="20"/>
          <w:rtl/>
        </w:rPr>
        <w:t>البخاري (6579)، ومسلم (2292)</w:t>
      </w:r>
      <w:r w:rsidRPr="00573DDF">
        <w:rPr>
          <w:rFonts w:ascii="Traditional Arabic" w:hAnsi="Traditional Arabic" w:hint="cs"/>
          <w:sz w:val="20"/>
          <w:szCs w:val="20"/>
          <w:rtl/>
        </w:rPr>
        <w:t>]</w:t>
      </w:r>
      <w:r>
        <w:rPr>
          <w:rFonts w:ascii="Traditional Arabic" w:hAnsi="Traditional Arabic" w:hint="cs"/>
          <w:sz w:val="28"/>
          <w:szCs w:val="28"/>
          <w:rtl/>
        </w:rPr>
        <w:t>.</w:t>
      </w:r>
    </w:p>
    <w:p w14:paraId="2726209F" w14:textId="77777777" w:rsidR="00306124" w:rsidRPr="00573DDF" w:rsidRDefault="00306124" w:rsidP="00306124">
      <w:pPr>
        <w:tabs>
          <w:tab w:val="left" w:pos="3466"/>
          <w:tab w:val="left" w:pos="11164"/>
        </w:tabs>
        <w:jc w:val="both"/>
        <w:rPr>
          <w:rFonts w:ascii="Traditional Arabic" w:hAnsi="Traditional Arabic"/>
          <w:sz w:val="28"/>
          <w:szCs w:val="28"/>
          <w:rtl/>
        </w:rPr>
      </w:pPr>
      <w:r w:rsidRPr="00573DDF">
        <w:rPr>
          <w:rFonts w:ascii="Traditional Arabic" w:hAnsi="Traditional Arabic"/>
          <w:sz w:val="28"/>
          <w:szCs w:val="28"/>
          <w:rtl/>
        </w:rPr>
        <w:t>وجاء التحديد بأماكن أخرى، ولا شك أن هذه المسافات متفاوتة تفاوتًا كبيرًا إلا أنها كلها مسيرها نحو شهر، وهذه الأحاديث كلها صحيحة.</w:t>
      </w:r>
    </w:p>
    <w:p w14:paraId="7CBE419C" w14:textId="77777777" w:rsidR="00306124" w:rsidRPr="00573DDF" w:rsidRDefault="00306124" w:rsidP="00306124">
      <w:pPr>
        <w:tabs>
          <w:tab w:val="left" w:pos="3466"/>
          <w:tab w:val="left" w:pos="11164"/>
        </w:tabs>
        <w:jc w:val="both"/>
        <w:rPr>
          <w:rFonts w:ascii="Traditional Arabic" w:hAnsi="Traditional Arabic"/>
          <w:sz w:val="28"/>
          <w:szCs w:val="28"/>
          <w:rtl/>
        </w:rPr>
      </w:pPr>
      <w:r w:rsidRPr="00573DDF">
        <w:rPr>
          <w:rFonts w:ascii="Traditional Arabic" w:hAnsi="Traditional Arabic" w:hint="eastAsia"/>
          <w:sz w:val="28"/>
          <w:szCs w:val="28"/>
          <w:rtl/>
        </w:rPr>
        <w:t>فما</w:t>
      </w:r>
      <w:r w:rsidRPr="00573DDF">
        <w:rPr>
          <w:rFonts w:ascii="Traditional Arabic" w:hAnsi="Traditional Arabic"/>
          <w:sz w:val="28"/>
          <w:szCs w:val="28"/>
          <w:rtl/>
        </w:rPr>
        <w:t xml:space="preserve"> بين عمّان إلى أيلة أقصر بكثير مما بين أيلة وصنعاء اليمن، وما بين صنعاء والمدينة أقصر، ولهذا ظن بعضهم أن هذا يعدُّ اضطرابًا، والاضطراب يضعف الحديث، فالحديث المضطرب هو الذي يروى على أوجه مختلفة</w:t>
      </w:r>
      <w:r>
        <w:rPr>
          <w:rFonts w:ascii="Traditional Arabic" w:hAnsi="Traditional Arabic" w:hint="cs"/>
          <w:sz w:val="28"/>
          <w:szCs w:val="28"/>
          <w:rtl/>
        </w:rPr>
        <w:t xml:space="preserve"> </w:t>
      </w:r>
      <w:r w:rsidRPr="00935E7A">
        <w:rPr>
          <w:rFonts w:ascii="Traditional Arabic" w:hAnsi="Traditional Arabic"/>
          <w:sz w:val="28"/>
          <w:szCs w:val="28"/>
          <w:rtl/>
        </w:rPr>
        <w:t>مع عدم إمكان الجمع أو الترجيح</w:t>
      </w:r>
      <w:r>
        <w:rPr>
          <w:rFonts w:ascii="Traditional Arabic" w:hAnsi="Traditional Arabic" w:hint="cs"/>
          <w:sz w:val="28"/>
          <w:szCs w:val="28"/>
          <w:rtl/>
        </w:rPr>
        <w:t>.</w:t>
      </w:r>
    </w:p>
    <w:p w14:paraId="29E7F350" w14:textId="77777777" w:rsidR="00306124" w:rsidRDefault="00306124" w:rsidP="00306124">
      <w:pPr>
        <w:tabs>
          <w:tab w:val="left" w:pos="3466"/>
          <w:tab w:val="left" w:pos="11164"/>
        </w:tabs>
        <w:jc w:val="both"/>
        <w:rPr>
          <w:rFonts w:ascii="Traditional Arabic" w:hAnsi="Traditional Arabic"/>
          <w:sz w:val="28"/>
          <w:szCs w:val="28"/>
          <w:rtl/>
        </w:rPr>
      </w:pPr>
      <w:r w:rsidRPr="00573DDF">
        <w:rPr>
          <w:rFonts w:ascii="Traditional Arabic" w:hAnsi="Traditional Arabic" w:hint="eastAsia"/>
          <w:sz w:val="28"/>
          <w:szCs w:val="28"/>
          <w:rtl/>
        </w:rPr>
        <w:t>وهل</w:t>
      </w:r>
      <w:r w:rsidRPr="00573DDF">
        <w:rPr>
          <w:rFonts w:ascii="Traditional Arabic" w:hAnsi="Traditional Arabic"/>
          <w:sz w:val="28"/>
          <w:szCs w:val="28"/>
          <w:rtl/>
        </w:rPr>
        <w:t xml:space="preserve"> الاضطراب متحقق في هذا الحديث؟ لا؛ فقد روي على أوجه مختلفة، لكنها غير متساوية، فمنها ما هو في الصحيحين، ومنها ما تفرد به البخاري، ومنها ما تفرد به مسلم، وعلى هذا إذا قلنا: إن بعضها أرجح من بعض لننفي الاضطراب، قلنا: يقدم ما في الصحيحين، هذا إذا تعذر الجم</w:t>
      </w:r>
      <w:r w:rsidRPr="00573DDF">
        <w:rPr>
          <w:rFonts w:ascii="Traditional Arabic" w:hAnsi="Traditional Arabic" w:hint="eastAsia"/>
          <w:sz w:val="28"/>
          <w:szCs w:val="28"/>
          <w:rtl/>
        </w:rPr>
        <w:t>ع،</w:t>
      </w:r>
      <w:r w:rsidRPr="00573DDF">
        <w:rPr>
          <w:rFonts w:ascii="Traditional Arabic" w:hAnsi="Traditional Arabic"/>
          <w:sz w:val="28"/>
          <w:szCs w:val="28"/>
          <w:rtl/>
        </w:rPr>
        <w:t xml:space="preserve"> أما إذا أمكن الجمع فلا يُلجأ إلى مثل هذا التعليل للأحاديث الثابتة في الصحيح، والجمع هنا ممكن فلا اضطراب.</w:t>
      </w:r>
    </w:p>
    <w:p w14:paraId="426DFE6F" w14:textId="77777777" w:rsidR="00306124" w:rsidRPr="00573DDF" w:rsidRDefault="00306124" w:rsidP="00306124">
      <w:pPr>
        <w:tabs>
          <w:tab w:val="left" w:pos="3466"/>
          <w:tab w:val="left" w:pos="11164"/>
        </w:tabs>
        <w:jc w:val="both"/>
        <w:rPr>
          <w:rFonts w:ascii="Traditional Arabic" w:hAnsi="Traditional Arabic"/>
          <w:sz w:val="28"/>
          <w:szCs w:val="28"/>
          <w:rtl/>
        </w:rPr>
      </w:pPr>
      <w:r w:rsidRPr="00573DDF">
        <w:rPr>
          <w:rFonts w:ascii="Traditional Arabic" w:hAnsi="Traditional Arabic"/>
          <w:sz w:val="28"/>
          <w:szCs w:val="28"/>
          <w:rtl/>
        </w:rPr>
        <w:t>فإذا قدرنا هذا الحوض بالمسافات المختلفة المتفاوتة في هذه الأحاديث، فيمكن الجمع بما قاله القرطبي</w:t>
      </w:r>
      <w:r>
        <w:rPr>
          <w:rFonts w:ascii="Traditional Arabic" w:hAnsi="Traditional Arabic" w:hint="cs"/>
          <w:sz w:val="28"/>
          <w:szCs w:val="28"/>
          <w:rtl/>
        </w:rPr>
        <w:t xml:space="preserve"> </w:t>
      </w:r>
      <w:r w:rsidRPr="00573DDF">
        <w:rPr>
          <w:rFonts w:ascii="Traditional Arabic" w:hAnsi="Traditional Arabic" w:hint="cs"/>
          <w:sz w:val="20"/>
          <w:szCs w:val="20"/>
          <w:rtl/>
        </w:rPr>
        <w:t>[</w:t>
      </w:r>
      <w:r w:rsidRPr="00573DDF">
        <w:rPr>
          <w:rFonts w:ascii="Traditional Arabic" w:hAnsi="Traditional Arabic"/>
          <w:sz w:val="20"/>
          <w:szCs w:val="20"/>
          <w:rtl/>
        </w:rPr>
        <w:t>التذكرة (ص: 706)</w:t>
      </w:r>
      <w:r w:rsidRPr="00573DDF">
        <w:rPr>
          <w:rFonts w:ascii="Traditional Arabic" w:hAnsi="Traditional Arabic" w:hint="cs"/>
          <w:sz w:val="20"/>
          <w:szCs w:val="20"/>
          <w:rtl/>
        </w:rPr>
        <w:t>]</w:t>
      </w:r>
      <w:r w:rsidRPr="00573DDF">
        <w:rPr>
          <w:rFonts w:ascii="Traditional Arabic" w:hAnsi="Traditional Arabic"/>
          <w:sz w:val="28"/>
          <w:szCs w:val="28"/>
          <w:rtl/>
        </w:rPr>
        <w:t>، بأنه خاطب كل أناس بما يفهمونه، وليس المراد التقدير الدقيق، فيخاطب الشامي بما يناسبه مما يعرفه من بلاده، واليمني بما يعرفه من البلدان، وهكذا.</w:t>
      </w:r>
    </w:p>
    <w:p w14:paraId="10C6AEE9" w14:textId="77777777" w:rsidR="00306124" w:rsidRPr="00573DDF" w:rsidRDefault="00306124" w:rsidP="00306124">
      <w:pPr>
        <w:tabs>
          <w:tab w:val="left" w:pos="3466"/>
          <w:tab w:val="left" w:pos="11164"/>
        </w:tabs>
        <w:jc w:val="both"/>
        <w:rPr>
          <w:rFonts w:ascii="Traditional Arabic" w:hAnsi="Traditional Arabic"/>
          <w:sz w:val="28"/>
          <w:szCs w:val="28"/>
          <w:rtl/>
        </w:rPr>
      </w:pPr>
      <w:r w:rsidRPr="00573DDF">
        <w:rPr>
          <w:rFonts w:ascii="Traditional Arabic" w:hAnsi="Traditional Arabic"/>
          <w:sz w:val="28"/>
          <w:szCs w:val="28"/>
          <w:rtl/>
        </w:rPr>
        <w:t xml:space="preserve">وأيضًا يمكن أن يجاب عن هذا الاختلاف في تحديد المسافة بأن هذه المسافات تختلف من حيث الطول لكنها تتحد من حيث الزمان، فالسير يختلف من شخصٍ إلى آخر، ومن وسيلةٍ إلى أخرى، فإذا قلنا: </w:t>
      </w:r>
      <w:r w:rsidRPr="00FE2D0E">
        <w:rPr>
          <w:rFonts w:ascii="Traditional Arabic" w:hAnsi="Traditional Arabic"/>
          <w:sz w:val="28"/>
          <w:szCs w:val="28"/>
          <w:rtl/>
        </w:rPr>
        <w:t>بسير الإبل حملناه على أطول المسافات، وإذا قلنا: بسير الجواد المضمر حملناه على أقل المسافات.</w:t>
      </w:r>
    </w:p>
    <w:p w14:paraId="11F59BEA" w14:textId="1E9BADAE" w:rsidR="00DB33AD" w:rsidRDefault="004D1294" w:rsidP="004D1294">
      <w:r w:rsidRPr="00573DDF">
        <w:rPr>
          <w:rFonts w:ascii="Traditional Arabic" w:hAnsi="Traditional Arabic"/>
          <w:sz w:val="28"/>
          <w:szCs w:val="28"/>
          <w:rtl/>
        </w:rPr>
        <w:t>وكذلك لا يمنع أن يكون النبي</w:t>
      </w:r>
      <w:r>
        <w:rPr>
          <w:rFonts w:ascii="Traditional Arabic" w:hAnsi="Traditional Arabic" w:hint="cs"/>
          <w:sz w:val="28"/>
          <w:szCs w:val="28"/>
          <w:rtl/>
        </w:rPr>
        <w:t xml:space="preserve"> صلى الله عليه وسلم</w:t>
      </w:r>
      <w:r w:rsidRPr="00573DDF">
        <w:rPr>
          <w:rFonts w:ascii="Traditional Arabic" w:hAnsi="Traditional Arabic"/>
          <w:sz w:val="28"/>
          <w:szCs w:val="28"/>
          <w:rtl/>
        </w:rPr>
        <w:t xml:space="preserve"> أخبر عن الحوض أولًا بأقل المسافات، ثم بعد ذلك زيد في مساحة الحوض؛ زيادةً لشرفه</w:t>
      </w:r>
      <w:r>
        <w:rPr>
          <w:rFonts w:ascii="Traditional Arabic" w:hAnsi="Traditional Arabic" w:hint="cs"/>
          <w:sz w:val="28"/>
          <w:szCs w:val="28"/>
          <w:rtl/>
        </w:rPr>
        <w:t xml:space="preserve"> صلى الله عليه وسلم</w:t>
      </w:r>
      <w:r w:rsidRPr="00573DDF">
        <w:rPr>
          <w:rFonts w:ascii="Traditional Arabic" w:hAnsi="Traditional Arabic"/>
          <w:sz w:val="28"/>
          <w:szCs w:val="28"/>
          <w:rtl/>
        </w:rPr>
        <w:t xml:space="preserve"> إلى أن بلغ أكبر المسافات، فصارت مساحته أوسع مما كانت عليه، وهذا يمكن أن يقال في مثل هذا الموضع للجمع والتوفيق بين هذه الأحاديث.</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83"/>
    <w:rsid w:val="00306124"/>
    <w:rsid w:val="004D1294"/>
    <w:rsid w:val="00530D34"/>
    <w:rsid w:val="006A2583"/>
    <w:rsid w:val="006E515B"/>
    <w:rsid w:val="0095429D"/>
    <w:rsid w:val="00C144FA"/>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D82B"/>
  <w15:chartTrackingRefBased/>
  <w15:docId w15:val="{234D5A05-9D48-48B0-8864-F10F016B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294"/>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4</cp:revision>
  <dcterms:created xsi:type="dcterms:W3CDTF">2021-07-21T16:46:00Z</dcterms:created>
  <dcterms:modified xsi:type="dcterms:W3CDTF">2021-07-23T09:56:00Z</dcterms:modified>
</cp:coreProperties>
</file>