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ECA50" w14:textId="77777777" w:rsidR="00DD31E7" w:rsidRDefault="00DD31E7" w:rsidP="003E3747">
      <w:pPr>
        <w:framePr w:hSpace="180" w:wrap="around" w:vAnchor="text" w:hAnchor="page" w:x="5018" w:y="32"/>
        <w:spacing w:line="240" w:lineRule="atLeast"/>
        <w:suppressOverlap/>
        <w:jc w:val="center"/>
        <w:rPr>
          <w:rFonts w:ascii="Traditional Arabic" w:hAnsi="Traditional Arabic"/>
          <w:b/>
          <w:bCs/>
          <w:sz w:val="28"/>
          <w:szCs w:val="28"/>
          <w:rtl/>
        </w:rPr>
      </w:pPr>
      <w:r>
        <w:rPr>
          <w:rFonts w:ascii="Traditional Arabic" w:hAnsi="Traditional Arabic"/>
          <w:b/>
          <w:bCs/>
          <w:sz w:val="28"/>
          <w:szCs w:val="28"/>
          <w:rtl/>
        </w:rPr>
        <w:t>[</w:t>
      </w:r>
      <w:r>
        <w:rPr>
          <w:rFonts w:ascii="Traditional Arabic" w:hAnsi="Traditional Arabic" w:hint="cs"/>
          <w:b/>
          <w:bCs/>
          <w:sz w:val="28"/>
          <w:szCs w:val="28"/>
          <w:rtl/>
        </w:rPr>
        <w:t>استثناء العرايا من تحريم المزابنة</w:t>
      </w:r>
      <w:r>
        <w:rPr>
          <w:rFonts w:ascii="Traditional Arabic" w:hAnsi="Traditional Arabic"/>
          <w:b/>
          <w:bCs/>
          <w:sz w:val="28"/>
          <w:szCs w:val="28"/>
          <w:rtl/>
        </w:rPr>
        <w:t>]</w:t>
      </w:r>
    </w:p>
    <w:p w14:paraId="23FF7461" w14:textId="77777777" w:rsidR="003E3747" w:rsidRDefault="003E3747" w:rsidP="003E3747">
      <w:pPr>
        <w:spacing w:line="240" w:lineRule="atLeast"/>
        <w:jc w:val="both"/>
        <w:rPr>
          <w:rFonts w:ascii="Traditional Arabic" w:hAnsi="Traditional Arabic"/>
          <w:sz w:val="28"/>
          <w:szCs w:val="28"/>
        </w:rPr>
      </w:pPr>
    </w:p>
    <w:p w14:paraId="6719DEED" w14:textId="77777777" w:rsidR="003E3747" w:rsidRDefault="003E3747" w:rsidP="003E3747">
      <w:pPr>
        <w:spacing w:line="240" w:lineRule="atLeast"/>
        <w:jc w:val="both"/>
        <w:rPr>
          <w:rFonts w:ascii="Traditional Arabic" w:hAnsi="Traditional Arabic"/>
          <w:sz w:val="28"/>
          <w:szCs w:val="28"/>
        </w:rPr>
      </w:pPr>
    </w:p>
    <w:p w14:paraId="5E606F82" w14:textId="1A206044" w:rsidR="003E3747" w:rsidRPr="00AC6843" w:rsidRDefault="003E3747" w:rsidP="003E3747">
      <w:pPr>
        <w:spacing w:line="240" w:lineRule="atLeast"/>
        <w:jc w:val="both"/>
        <w:rPr>
          <w:rFonts w:ascii="Traditional Arabic" w:hAnsi="Traditional Arabic"/>
          <w:sz w:val="28"/>
          <w:szCs w:val="28"/>
          <w:rtl/>
        </w:rPr>
      </w:pPr>
      <w:r w:rsidRPr="00AC6843">
        <w:rPr>
          <w:rFonts w:ascii="Traditional Arabic" w:hAnsi="Traditional Arabic"/>
          <w:sz w:val="28"/>
          <w:szCs w:val="28"/>
          <w:rtl/>
        </w:rPr>
        <w:t>استثنيت العرايا من المزابنة التي جاء تحريمها، والمزابنة مفضية إلى الربا؛ لأنه لا تتحقق فيها المماثلة، والمزابنة: بيع التمر رطبًا على ر</w:t>
      </w:r>
      <w:r w:rsidRPr="00AC6843">
        <w:rPr>
          <w:rFonts w:ascii="Traditional Arabic" w:hAnsi="Traditional Arabic" w:hint="cs"/>
          <w:sz w:val="28"/>
          <w:szCs w:val="28"/>
          <w:rtl/>
        </w:rPr>
        <w:t>ؤ</w:t>
      </w:r>
      <w:r w:rsidRPr="00AC6843">
        <w:rPr>
          <w:rFonts w:ascii="Traditional Arabic" w:hAnsi="Traditional Arabic"/>
          <w:sz w:val="28"/>
          <w:szCs w:val="28"/>
          <w:rtl/>
        </w:rPr>
        <w:t>وس النخل بكيله من الجاف، أو بما ي</w:t>
      </w:r>
      <w:r w:rsidRPr="00AC6843">
        <w:rPr>
          <w:rFonts w:ascii="Traditional Arabic" w:hAnsi="Traditional Arabic" w:hint="cs"/>
          <w:sz w:val="28"/>
          <w:szCs w:val="28"/>
          <w:rtl/>
        </w:rPr>
        <w:t>ؤ</w:t>
      </w:r>
      <w:r w:rsidRPr="00AC6843">
        <w:rPr>
          <w:rFonts w:ascii="Traditional Arabic" w:hAnsi="Traditional Arabic"/>
          <w:sz w:val="28"/>
          <w:szCs w:val="28"/>
          <w:rtl/>
        </w:rPr>
        <w:t>ول إليه من الجاف، ولعدم تحقق المماثلة وجد الربا في هذه الصورة،</w:t>
      </w:r>
      <w:r w:rsidRPr="00AC6843">
        <w:rPr>
          <w:rFonts w:ascii="Traditional Arabic" w:hAnsi="Traditional Arabic" w:hint="cs"/>
          <w:sz w:val="28"/>
          <w:szCs w:val="28"/>
          <w:rtl/>
        </w:rPr>
        <w:t xml:space="preserve"> لكن</w:t>
      </w:r>
      <w:r w:rsidRPr="00AC6843">
        <w:rPr>
          <w:rFonts w:ascii="Traditional Arabic" w:hAnsi="Traditional Arabic"/>
          <w:sz w:val="28"/>
          <w:szCs w:val="28"/>
          <w:rtl/>
        </w:rPr>
        <w:t xml:space="preserve"> استثني</w:t>
      </w:r>
      <w:r w:rsidRPr="00AC6843">
        <w:rPr>
          <w:rFonts w:ascii="Traditional Arabic" w:hAnsi="Traditional Arabic" w:hint="cs"/>
          <w:sz w:val="28"/>
          <w:szCs w:val="28"/>
          <w:rtl/>
        </w:rPr>
        <w:t>ت</w:t>
      </w:r>
      <w:r w:rsidRPr="00AC6843">
        <w:rPr>
          <w:rFonts w:ascii="Traditional Arabic" w:hAnsi="Traditional Arabic"/>
          <w:sz w:val="28"/>
          <w:szCs w:val="28"/>
          <w:rtl/>
        </w:rPr>
        <w:t xml:space="preserve"> العرايا في خمسة أوسق، أو ما دون خمسة أوسق، </w:t>
      </w:r>
      <w:r w:rsidRPr="00AC6843">
        <w:rPr>
          <w:rFonts w:ascii="Traditional Arabic" w:hAnsi="Traditional Arabic" w:hint="cs"/>
          <w:sz w:val="28"/>
          <w:szCs w:val="28"/>
          <w:rtl/>
        </w:rPr>
        <w:t>ف</w:t>
      </w:r>
      <w:r w:rsidRPr="00AC6843">
        <w:rPr>
          <w:rFonts w:ascii="Traditional Arabic" w:hAnsi="Traditional Arabic"/>
          <w:sz w:val="28"/>
          <w:szCs w:val="28"/>
          <w:rtl/>
        </w:rPr>
        <w:t>العرايا نوع من المزابنة،</w:t>
      </w:r>
      <w:r w:rsidRPr="00AC6843">
        <w:rPr>
          <w:rFonts w:ascii="Traditional Arabic" w:hAnsi="Traditional Arabic" w:hint="cs"/>
          <w:sz w:val="28"/>
          <w:szCs w:val="28"/>
          <w:rtl/>
        </w:rPr>
        <w:t xml:space="preserve"> </w:t>
      </w:r>
      <w:r w:rsidRPr="00AC6843">
        <w:rPr>
          <w:rFonts w:ascii="Traditional Arabic" w:hAnsi="Traditional Arabic"/>
          <w:sz w:val="28"/>
          <w:szCs w:val="28"/>
          <w:rtl/>
        </w:rPr>
        <w:t xml:space="preserve">إلا أنها خُصّت بقوله </w:t>
      </w:r>
      <w:r w:rsidRPr="00AC6843">
        <w:rPr>
          <w:rFonts w:ascii="Traditional Arabic" w:hAnsi="Traditional Arabic" w:hint="cs"/>
          <w:sz w:val="28"/>
          <w:szCs w:val="28"/>
          <w:rtl/>
        </w:rPr>
        <w:t>صلى الله عليه وسلم</w:t>
      </w:r>
      <w:r w:rsidRPr="00AC6843">
        <w:rPr>
          <w:rFonts w:ascii="Traditional Arabic" w:hAnsi="Traditional Arabic"/>
          <w:sz w:val="28"/>
          <w:szCs w:val="28"/>
          <w:rtl/>
        </w:rPr>
        <w:t xml:space="preserve">: </w:t>
      </w:r>
      <w:r w:rsidRPr="007A0D22">
        <w:rPr>
          <w:rFonts w:ascii="Traditional Arabic" w:hAnsi="Traditional Arabic"/>
          <w:color w:val="0000FF"/>
          <w:sz w:val="28"/>
          <w:szCs w:val="28"/>
          <w:rtl/>
        </w:rPr>
        <w:t>«إلا العرايا»</w:t>
      </w:r>
      <w:r w:rsidRPr="00AC6843">
        <w:rPr>
          <w:rFonts w:ascii="Traditional Arabic" w:hAnsi="Traditional Arabic" w:hint="cs"/>
          <w:sz w:val="28"/>
          <w:szCs w:val="28"/>
          <w:rtl/>
        </w:rPr>
        <w:t xml:space="preserve"> </w:t>
      </w:r>
      <w:r w:rsidRPr="00AC6843">
        <w:rPr>
          <w:rFonts w:ascii="Traditional Arabic" w:hAnsi="Traditional Arabic" w:hint="cs"/>
          <w:sz w:val="20"/>
          <w:szCs w:val="20"/>
          <w:rtl/>
        </w:rPr>
        <w:t>[</w:t>
      </w:r>
      <w:r w:rsidRPr="00AC6843">
        <w:rPr>
          <w:rFonts w:ascii="Traditional Arabic" w:hAnsi="Traditional Arabic"/>
          <w:sz w:val="20"/>
          <w:szCs w:val="20"/>
          <w:rtl/>
        </w:rPr>
        <w:t>البخاري (2198)، ومسلم (1575)</w:t>
      </w:r>
      <w:r w:rsidRPr="00AC6843">
        <w:rPr>
          <w:rFonts w:ascii="Traditional Arabic" w:hAnsi="Traditional Arabic" w:hint="cs"/>
          <w:sz w:val="20"/>
          <w:szCs w:val="20"/>
          <w:rtl/>
        </w:rPr>
        <w:t>]</w:t>
      </w:r>
      <w:r w:rsidRPr="00AC6843">
        <w:rPr>
          <w:rFonts w:ascii="Traditional Arabic" w:hAnsi="Traditional Arabic"/>
          <w:sz w:val="28"/>
          <w:szCs w:val="28"/>
          <w:rtl/>
        </w:rPr>
        <w:t xml:space="preserve">، فمَن احتاج إلى تمر رطب يأكله مع أولاده وأسرته، ولا يكون عنده </w:t>
      </w:r>
      <w:r w:rsidRPr="00AC6843">
        <w:rPr>
          <w:rFonts w:ascii="Traditional Arabic" w:hAnsi="Traditional Arabic" w:hint="cs"/>
          <w:sz w:val="28"/>
          <w:szCs w:val="28"/>
          <w:rtl/>
        </w:rPr>
        <w:t xml:space="preserve">من النقود </w:t>
      </w:r>
      <w:r w:rsidRPr="00AC6843">
        <w:rPr>
          <w:rFonts w:ascii="Traditional Arabic" w:hAnsi="Traditional Arabic"/>
          <w:sz w:val="28"/>
          <w:szCs w:val="28"/>
          <w:rtl/>
        </w:rPr>
        <w:t xml:space="preserve">ما يشتري به إلا التمر الباقي من العام الماضي الجاف، </w:t>
      </w:r>
      <w:r w:rsidRPr="00AC6843">
        <w:rPr>
          <w:rFonts w:ascii="Traditional Arabic" w:hAnsi="Traditional Arabic" w:hint="cs"/>
          <w:sz w:val="28"/>
          <w:szCs w:val="28"/>
          <w:rtl/>
        </w:rPr>
        <w:t>و</w:t>
      </w:r>
      <w:r w:rsidRPr="00AC6843">
        <w:rPr>
          <w:rFonts w:ascii="Traditional Arabic" w:hAnsi="Traditional Arabic"/>
          <w:sz w:val="28"/>
          <w:szCs w:val="28"/>
          <w:rtl/>
        </w:rPr>
        <w:t xml:space="preserve">لو باعه </w:t>
      </w:r>
      <w:r w:rsidRPr="00AC6843">
        <w:rPr>
          <w:rFonts w:ascii="Traditional Arabic" w:hAnsi="Traditional Arabic" w:hint="cs"/>
          <w:sz w:val="28"/>
          <w:szCs w:val="28"/>
          <w:rtl/>
        </w:rPr>
        <w:t>ل</w:t>
      </w:r>
      <w:r w:rsidRPr="00AC6843">
        <w:rPr>
          <w:rFonts w:ascii="Traditional Arabic" w:hAnsi="Traditional Arabic"/>
          <w:sz w:val="28"/>
          <w:szCs w:val="28"/>
          <w:rtl/>
        </w:rPr>
        <w:t>ما حصلت له القيمة التي يشتري بها ما يكفيه ويكفي أولاده، فيقال له رفقًا به: لك أن تشتري به رطبًا</w:t>
      </w:r>
      <w:r w:rsidRPr="00AC6843">
        <w:rPr>
          <w:rFonts w:ascii="Traditional Arabic" w:hAnsi="Traditional Arabic" w:hint="cs"/>
          <w:sz w:val="28"/>
          <w:szCs w:val="28"/>
          <w:rtl/>
        </w:rPr>
        <w:t>.</w:t>
      </w:r>
    </w:p>
    <w:p w14:paraId="5D059572" w14:textId="6AF09D1D" w:rsidR="00DB33AD" w:rsidRDefault="00DD31E7" w:rsidP="00DD31E7">
      <w:r w:rsidRPr="00AC6843">
        <w:rPr>
          <w:rFonts w:ascii="Traditional Arabic" w:hAnsi="Traditional Arabic"/>
          <w:sz w:val="28"/>
          <w:szCs w:val="28"/>
          <w:rtl/>
        </w:rPr>
        <w:t xml:space="preserve">والربا ثبَت تحريمه بالكتاب في أكثر من آية، </w:t>
      </w:r>
      <w:r w:rsidRPr="00AC6843">
        <w:rPr>
          <w:rFonts w:ascii="Traditional Arabic" w:hAnsi="Traditional Arabic" w:hint="cs"/>
          <w:sz w:val="28"/>
          <w:szCs w:val="28"/>
          <w:rtl/>
        </w:rPr>
        <w:t>منها قوله</w:t>
      </w:r>
      <w:r w:rsidRPr="00AC6843">
        <w:rPr>
          <w:rFonts w:ascii="Traditional Arabic" w:hAnsi="Traditional Arabic"/>
          <w:sz w:val="28"/>
          <w:szCs w:val="28"/>
          <w:rtl/>
        </w:rPr>
        <w:t xml:space="preserve"> تعالى: </w:t>
      </w:r>
      <w:r w:rsidRPr="007A0D22">
        <w:rPr>
          <w:color w:val="FF0000"/>
          <w:szCs w:val="28"/>
          <w:rtl/>
        </w:rPr>
        <w:t>{وَأَحَلَّ اللهُ الْبَيْعَ وَحَرَّمَ الرِّبَا}</w:t>
      </w:r>
      <w:r w:rsidRPr="00AC6843">
        <w:rPr>
          <w:rFonts w:ascii="Traditional Arabic" w:hAnsi="Traditional Arabic"/>
          <w:sz w:val="28"/>
          <w:szCs w:val="28"/>
          <w:rtl/>
        </w:rPr>
        <w:t xml:space="preserve"> </w:t>
      </w:r>
      <w:r w:rsidRPr="00AC6843">
        <w:rPr>
          <w:rFonts w:ascii="Traditional Arabic" w:hAnsi="Traditional Arabic"/>
          <w:sz w:val="20"/>
          <w:szCs w:val="20"/>
          <w:rtl/>
        </w:rPr>
        <w:t>[البقرة: 275]</w:t>
      </w:r>
      <w:r w:rsidRPr="00AC6843">
        <w:rPr>
          <w:rFonts w:ascii="Traditional Arabic" w:hAnsi="Traditional Arabic"/>
          <w:sz w:val="28"/>
          <w:szCs w:val="28"/>
          <w:rtl/>
        </w:rPr>
        <w:t xml:space="preserve">، </w:t>
      </w:r>
      <w:r w:rsidRPr="00AC6843">
        <w:rPr>
          <w:rFonts w:ascii="Traditional Arabic" w:hAnsi="Traditional Arabic" w:hint="cs"/>
          <w:sz w:val="28"/>
          <w:szCs w:val="28"/>
          <w:rtl/>
        </w:rPr>
        <w:t>و</w:t>
      </w:r>
      <w:r w:rsidRPr="00AC6843">
        <w:rPr>
          <w:rFonts w:ascii="Traditional Arabic" w:hAnsi="Traditional Arabic"/>
          <w:sz w:val="28"/>
          <w:szCs w:val="28"/>
          <w:rtl/>
        </w:rPr>
        <w:t xml:space="preserve">العرايا ربا لعدم التماثل، </w:t>
      </w:r>
      <w:r w:rsidRPr="00AC6843">
        <w:rPr>
          <w:rFonts w:ascii="Traditional Arabic" w:hAnsi="Traditional Arabic" w:hint="cs"/>
          <w:sz w:val="28"/>
          <w:szCs w:val="28"/>
          <w:rtl/>
        </w:rPr>
        <w:t>فالجهل</w:t>
      </w:r>
      <w:r w:rsidRPr="00AC6843">
        <w:rPr>
          <w:rFonts w:ascii="Traditional Arabic" w:hAnsi="Traditional Arabic"/>
          <w:sz w:val="28"/>
          <w:szCs w:val="28"/>
          <w:rtl/>
        </w:rPr>
        <w:t xml:space="preserve"> بالتساوي كالعلم بالتفاضل، ولم تتحقق </w:t>
      </w:r>
      <w:r w:rsidRPr="00AC6843">
        <w:rPr>
          <w:rFonts w:ascii="Traditional Arabic" w:hAnsi="Traditional Arabic" w:hint="cs"/>
          <w:sz w:val="28"/>
          <w:szCs w:val="28"/>
          <w:rtl/>
        </w:rPr>
        <w:t xml:space="preserve">المماثلة </w:t>
      </w:r>
      <w:r w:rsidRPr="00AC6843">
        <w:rPr>
          <w:rFonts w:ascii="Traditional Arabic" w:hAnsi="Traditional Arabic"/>
          <w:sz w:val="28"/>
          <w:szCs w:val="28"/>
          <w:rtl/>
        </w:rPr>
        <w:t xml:space="preserve">في المزابنة ولا في العرايا، فالمزابنة باقية على النهي، والعرايا مستثناة، </w:t>
      </w:r>
      <w:r w:rsidRPr="00AC6843">
        <w:rPr>
          <w:rFonts w:ascii="Traditional Arabic" w:hAnsi="Traditional Arabic" w:hint="cs"/>
          <w:sz w:val="28"/>
          <w:szCs w:val="28"/>
          <w:rtl/>
        </w:rPr>
        <w:t>واستثناؤها تخصيص لتحريم الربا</w:t>
      </w:r>
      <w:r w:rsidRPr="00AC6843">
        <w:rPr>
          <w:rFonts w:ascii="Traditional Arabic" w:hAnsi="Traditional Arabic"/>
          <w:sz w:val="28"/>
          <w:szCs w:val="28"/>
          <w:rtl/>
        </w:rPr>
        <w:t>، لكن</w:t>
      </w:r>
      <w:r w:rsidRPr="00AC6843">
        <w:rPr>
          <w:rFonts w:ascii="Traditional Arabic" w:hAnsi="Traditional Arabic" w:hint="cs"/>
          <w:sz w:val="28"/>
          <w:szCs w:val="28"/>
          <w:rtl/>
        </w:rPr>
        <w:t>ها</w:t>
      </w:r>
      <w:r w:rsidRPr="00AC6843">
        <w:rPr>
          <w:rFonts w:ascii="Traditional Arabic" w:hAnsi="Traditional Arabic"/>
          <w:sz w:val="28"/>
          <w:szCs w:val="28"/>
          <w:rtl/>
        </w:rPr>
        <w:t xml:space="preserve"> خُصَّت للحاجة، لكن ليست كل حاجة تبيح المحَرَّم، وقد تكون بعض الحاجات أشدّ من حاجة مريد العرية، لكن لا يجوز له أن يتجاوزَ ما حرم الله عليه بنص من الكتاب أو من السنة إلا لضرورة، أما ما مُنع باعتباره فردًا من أفراد قاعدة عامة، أو قاعدة أغلبية، أو حرُم بعمومات ولم ينص عليه بذاته، فمثل هذا من أهل العلم مَن يرى أن الحاجة تبيحه.</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E6"/>
    <w:rsid w:val="003E3747"/>
    <w:rsid w:val="00423BE6"/>
    <w:rsid w:val="00530D34"/>
    <w:rsid w:val="006E515B"/>
    <w:rsid w:val="007A0D22"/>
    <w:rsid w:val="0095429D"/>
    <w:rsid w:val="00BD5993"/>
    <w:rsid w:val="00DB33AD"/>
    <w:rsid w:val="00DD31E7"/>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C151"/>
  <w15:chartTrackingRefBased/>
  <w15:docId w15:val="{B141B0C9-A4FE-4D40-8935-A9C3F3EC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1E7"/>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1109</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7</cp:revision>
  <dcterms:created xsi:type="dcterms:W3CDTF">2021-07-21T16:23:00Z</dcterms:created>
  <dcterms:modified xsi:type="dcterms:W3CDTF">2021-07-23T10:00:00Z</dcterms:modified>
</cp:coreProperties>
</file>