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16A37" w14:textId="77777777" w:rsidR="00E61B7C" w:rsidRPr="00B2453C" w:rsidRDefault="00E61B7C" w:rsidP="00E61B7C">
      <w:pPr>
        <w:framePr w:hSpace="180" w:wrap="around" w:vAnchor="text" w:hAnchor="page" w:x="4816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B2453C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التكبير في نهاية الشوط السابع من الطواف</w:t>
      </w:r>
      <w:r w:rsidRPr="00B2453C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46F4C488" w14:textId="77777777" w:rsidR="00E61B7C" w:rsidRDefault="00E61B7C" w:rsidP="00E61B7C">
      <w:pPr>
        <w:rPr>
          <w:rFonts w:ascii="Traditional Arabic" w:hAnsi="Traditional Arabic"/>
          <w:sz w:val="28"/>
          <w:szCs w:val="28"/>
          <w:rtl/>
        </w:rPr>
      </w:pPr>
    </w:p>
    <w:p w14:paraId="12303FE9" w14:textId="7676CF1F" w:rsidR="00DB33AD" w:rsidRDefault="00E61B7C" w:rsidP="00E61B7C">
      <w:r w:rsidRPr="00027BB7">
        <w:rPr>
          <w:rFonts w:ascii="Traditional Arabic" w:hAnsi="Traditional Arabic"/>
          <w:sz w:val="28"/>
          <w:szCs w:val="28"/>
          <w:rtl/>
        </w:rPr>
        <w:t xml:space="preserve">يسن التكبير عند محاذاة </w:t>
      </w:r>
      <w:r w:rsidRPr="00027BB7">
        <w:rPr>
          <w:rFonts w:ascii="Traditional Arabic" w:hAnsi="Traditional Arabic" w:hint="cs"/>
          <w:sz w:val="28"/>
          <w:szCs w:val="28"/>
          <w:rtl/>
        </w:rPr>
        <w:t>الحجر الأسود</w:t>
      </w:r>
      <w:r w:rsidRPr="00027BB7">
        <w:rPr>
          <w:rFonts w:ascii="Traditional Arabic" w:hAnsi="Traditional Arabic"/>
          <w:sz w:val="28"/>
          <w:szCs w:val="28"/>
          <w:rtl/>
        </w:rPr>
        <w:t xml:space="preserve">، كما جاء في الأحاديث الصحيحة أنه 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صلى الله عليه وسلم </w:t>
      </w:r>
      <w:r w:rsidRPr="00027BB7">
        <w:rPr>
          <w:rFonts w:ascii="Traditional Arabic" w:hAnsi="Traditional Arabic"/>
          <w:sz w:val="28"/>
          <w:szCs w:val="28"/>
          <w:rtl/>
        </w:rPr>
        <w:t>كان كلما حاذى الحجر كبر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27BB7">
        <w:rPr>
          <w:rFonts w:ascii="Traditional Arabic" w:hAnsi="Traditional Arabic" w:hint="cs"/>
          <w:sz w:val="20"/>
          <w:szCs w:val="20"/>
          <w:rtl/>
        </w:rPr>
        <w:t>[</w:t>
      </w:r>
      <w:r w:rsidRPr="00027BB7">
        <w:rPr>
          <w:rFonts w:ascii="Traditional Arabic" w:hAnsi="Traditional Arabic"/>
          <w:sz w:val="20"/>
          <w:szCs w:val="20"/>
          <w:rtl/>
        </w:rPr>
        <w:t>البخاري (1613)</w:t>
      </w:r>
      <w:r w:rsidRPr="00027BB7">
        <w:rPr>
          <w:rFonts w:ascii="Traditional Arabic" w:hAnsi="Traditional Arabic" w:hint="cs"/>
          <w:sz w:val="20"/>
          <w:szCs w:val="20"/>
          <w:rtl/>
        </w:rPr>
        <w:t>]</w:t>
      </w:r>
      <w:r w:rsidRPr="00027BB7">
        <w:rPr>
          <w:rFonts w:ascii="Traditional Arabic" w:hAnsi="Traditional Arabic"/>
          <w:sz w:val="28"/>
          <w:szCs w:val="28"/>
          <w:rtl/>
        </w:rPr>
        <w:t>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27BB7">
        <w:rPr>
          <w:rFonts w:ascii="Traditional Arabic" w:hAnsi="Traditional Arabic"/>
          <w:sz w:val="28"/>
          <w:szCs w:val="28"/>
          <w:rtl/>
        </w:rPr>
        <w:t xml:space="preserve">فيدخل في 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هذا الحكم المحاذاة عند </w:t>
      </w:r>
      <w:r w:rsidRPr="00027BB7">
        <w:rPr>
          <w:rFonts w:ascii="Traditional Arabic" w:hAnsi="Traditional Arabic"/>
          <w:sz w:val="28"/>
          <w:szCs w:val="28"/>
          <w:rtl/>
        </w:rPr>
        <w:t>بداية الطواف</w:t>
      </w:r>
      <w:r w:rsidRPr="00027BB7">
        <w:rPr>
          <w:rFonts w:ascii="Traditional Arabic" w:hAnsi="Traditional Arabic" w:hint="cs"/>
          <w:sz w:val="28"/>
          <w:szCs w:val="28"/>
          <w:rtl/>
        </w:rPr>
        <w:t>،</w:t>
      </w:r>
      <w:r w:rsidRPr="00027BB7">
        <w:rPr>
          <w:rFonts w:ascii="Traditional Arabic" w:hAnsi="Traditional Arabic"/>
          <w:sz w:val="28"/>
          <w:szCs w:val="28"/>
          <w:rtl/>
        </w:rPr>
        <w:t xml:space="preserve"> و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عند </w:t>
      </w:r>
      <w:r w:rsidRPr="00027BB7">
        <w:rPr>
          <w:rFonts w:ascii="Traditional Arabic" w:hAnsi="Traditional Arabic"/>
          <w:sz w:val="28"/>
          <w:szCs w:val="28"/>
          <w:rtl/>
        </w:rPr>
        <w:t>نهاي</w:t>
      </w:r>
      <w:r w:rsidRPr="00027BB7">
        <w:rPr>
          <w:rFonts w:ascii="Traditional Arabic" w:hAnsi="Traditional Arabic" w:hint="cs"/>
          <w:sz w:val="28"/>
          <w:szCs w:val="28"/>
          <w:rtl/>
        </w:rPr>
        <w:t>ة الشوط السابع،</w:t>
      </w:r>
      <w:r w:rsidRPr="00027BB7">
        <w:rPr>
          <w:rFonts w:ascii="Traditional Arabic" w:hAnsi="Traditional Arabic"/>
          <w:sz w:val="28"/>
          <w:szCs w:val="28"/>
          <w:rtl/>
        </w:rPr>
        <w:t xml:space="preserve"> أما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 التكبير في</w:t>
      </w:r>
      <w:r w:rsidRPr="00027BB7">
        <w:rPr>
          <w:rFonts w:ascii="Traditional Arabic" w:hAnsi="Traditional Arabic"/>
          <w:sz w:val="28"/>
          <w:szCs w:val="28"/>
          <w:rtl/>
        </w:rPr>
        <w:t xml:space="preserve"> بداية كل شوط 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فلم </w:t>
      </w:r>
      <w:r w:rsidRPr="00027BB7">
        <w:rPr>
          <w:rFonts w:ascii="Traditional Arabic" w:hAnsi="Traditional Arabic"/>
          <w:sz w:val="28"/>
          <w:szCs w:val="28"/>
          <w:rtl/>
        </w:rPr>
        <w:t>يخالف فيه أحد</w:t>
      </w:r>
      <w:r w:rsidRPr="00027BB7">
        <w:rPr>
          <w:rFonts w:ascii="Traditional Arabic" w:hAnsi="Traditional Arabic" w:hint="cs"/>
          <w:sz w:val="28"/>
          <w:szCs w:val="28"/>
          <w:rtl/>
        </w:rPr>
        <w:t>، وأما في نهاية الشوط السابع فمقتضى هذه الأحاديث أنه يكبر في نهايته أيضًا، ويشهد له ما رواه الإمام أحمد رحمه الله عن</w:t>
      </w:r>
      <w:r w:rsidRPr="00027BB7">
        <w:rPr>
          <w:rFonts w:ascii="Traditional Arabic" w:hAnsi="Traditional Arabic"/>
          <w:sz w:val="28"/>
          <w:szCs w:val="28"/>
          <w:rtl/>
        </w:rPr>
        <w:t xml:space="preserve"> جابر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 رضي الله عنه أنه قال</w:t>
      </w:r>
      <w:r w:rsidRPr="00027BB7">
        <w:rPr>
          <w:rFonts w:ascii="Traditional Arabic" w:hAnsi="Traditional Arabic"/>
          <w:sz w:val="28"/>
          <w:szCs w:val="28"/>
          <w:rtl/>
        </w:rPr>
        <w:t xml:space="preserve">: </w:t>
      </w:r>
      <w:r w:rsidRPr="00CF0D4E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CF0D4E">
        <w:rPr>
          <w:rFonts w:ascii="Traditional Arabic" w:hAnsi="Traditional Arabic"/>
          <w:color w:val="0000FF"/>
          <w:sz w:val="28"/>
          <w:szCs w:val="28"/>
          <w:rtl/>
        </w:rPr>
        <w:t>كنا نطوف مع النبي</w:t>
      </w:r>
      <w:r w:rsidRPr="00CF0D4E">
        <w:rPr>
          <w:rFonts w:ascii="Traditional Arabic" w:hAnsi="Traditional Arabic" w:hint="cs"/>
          <w:color w:val="0000FF"/>
          <w:sz w:val="28"/>
          <w:szCs w:val="28"/>
          <w:rtl/>
        </w:rPr>
        <w:t xml:space="preserve"> صلى الله عليه وسلم فنمسح الركن</w:t>
      </w:r>
      <w:r w:rsidRPr="00CF0D4E">
        <w:rPr>
          <w:rFonts w:ascii="Traditional Arabic" w:hAnsi="Traditional Arabic"/>
          <w:color w:val="0000FF"/>
          <w:sz w:val="28"/>
          <w:szCs w:val="28"/>
          <w:rtl/>
        </w:rPr>
        <w:t xml:space="preserve"> الفاتحة</w:t>
      </w:r>
      <w:r w:rsidRPr="00CF0D4E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F0D4E">
        <w:rPr>
          <w:rFonts w:ascii="Traditional Arabic" w:hAnsi="Traditional Arabic"/>
          <w:color w:val="0000FF"/>
          <w:sz w:val="28"/>
          <w:szCs w:val="28"/>
          <w:rtl/>
        </w:rPr>
        <w:t xml:space="preserve"> والخاتمة</w:t>
      </w:r>
      <w:r w:rsidRPr="00CF0D4E">
        <w:rPr>
          <w:rFonts w:ascii="Traditional Arabic" w:hAnsi="Traditional Arabic" w:hint="cs"/>
          <w:color w:val="0000FF"/>
          <w:sz w:val="28"/>
          <w:szCs w:val="28"/>
          <w:rtl/>
        </w:rPr>
        <w:t>َ»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27BB7">
        <w:rPr>
          <w:rFonts w:ascii="Traditional Arabic" w:hAnsi="Traditional Arabic" w:hint="cs"/>
          <w:sz w:val="20"/>
          <w:szCs w:val="20"/>
          <w:rtl/>
        </w:rPr>
        <w:t>[</w:t>
      </w:r>
      <w:r w:rsidRPr="00027BB7">
        <w:rPr>
          <w:rFonts w:ascii="Traditional Arabic" w:hAnsi="Traditional Arabic"/>
          <w:sz w:val="20"/>
          <w:szCs w:val="20"/>
          <w:rtl/>
        </w:rPr>
        <w:t>أحمد (15232)</w:t>
      </w:r>
      <w:r w:rsidRPr="00027BB7">
        <w:rPr>
          <w:rFonts w:ascii="Traditional Arabic" w:hAnsi="Traditional Arabic" w:hint="cs"/>
          <w:sz w:val="20"/>
          <w:szCs w:val="20"/>
          <w:rtl/>
        </w:rPr>
        <w:t>]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27BB7">
        <w:rPr>
          <w:rFonts w:ascii="Traditional Arabic" w:hAnsi="Traditional Arabic"/>
          <w:sz w:val="28"/>
          <w:szCs w:val="28"/>
          <w:rtl/>
        </w:rPr>
        <w:t>وحسن ابن حجر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 رحمه الله</w:t>
      </w:r>
      <w:r w:rsidRPr="00027BB7">
        <w:rPr>
          <w:rFonts w:ascii="Traditional Arabic" w:hAnsi="Traditional Arabic"/>
          <w:sz w:val="28"/>
          <w:szCs w:val="28"/>
          <w:rtl/>
        </w:rPr>
        <w:t xml:space="preserve"> إسناده.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 ومعنى الحديث </w:t>
      </w:r>
      <w:r w:rsidRPr="00027BB7">
        <w:rPr>
          <w:rFonts w:ascii="Traditional Arabic" w:hAnsi="Traditional Arabic"/>
          <w:sz w:val="28"/>
          <w:szCs w:val="28"/>
          <w:rtl/>
        </w:rPr>
        <w:t>أن</w:t>
      </w:r>
      <w:r w:rsidRPr="00027BB7">
        <w:rPr>
          <w:rFonts w:ascii="Traditional Arabic" w:hAnsi="Traditional Arabic" w:hint="cs"/>
          <w:sz w:val="28"/>
          <w:szCs w:val="28"/>
          <w:rtl/>
        </w:rPr>
        <w:t>هم كانوا ي</w:t>
      </w:r>
      <w:r w:rsidRPr="00027BB7">
        <w:rPr>
          <w:rFonts w:ascii="Traditional Arabic" w:hAnsi="Traditional Arabic"/>
          <w:sz w:val="28"/>
          <w:szCs w:val="28"/>
          <w:rtl/>
        </w:rPr>
        <w:t>ستلم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ون الحجر في بداية الطواف وفي نهايته، والاستلام باليد </w:t>
      </w:r>
      <w:r w:rsidRPr="00027BB7">
        <w:rPr>
          <w:rFonts w:ascii="Traditional Arabic" w:hAnsi="Traditional Arabic"/>
          <w:sz w:val="28"/>
          <w:szCs w:val="28"/>
          <w:rtl/>
        </w:rPr>
        <w:t>هو الأصل، فإذا لم يتمكن الطائف من استلام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 الحجر بيده</w:t>
      </w:r>
      <w:r w:rsidRPr="00027BB7">
        <w:rPr>
          <w:rFonts w:ascii="Traditional Arabic" w:hAnsi="Traditional Arabic"/>
          <w:sz w:val="28"/>
          <w:szCs w:val="28"/>
          <w:rtl/>
        </w:rPr>
        <w:t xml:space="preserve"> فإنه يستلم</w:t>
      </w:r>
      <w:r w:rsidRPr="00027BB7">
        <w:rPr>
          <w:rFonts w:ascii="Traditional Arabic" w:hAnsi="Traditional Arabic" w:hint="cs"/>
          <w:sz w:val="28"/>
          <w:szCs w:val="28"/>
          <w:rtl/>
        </w:rPr>
        <w:t>ه</w:t>
      </w:r>
      <w:r w:rsidRPr="00027BB7">
        <w:rPr>
          <w:rFonts w:ascii="Traditional Arabic" w:hAnsi="Traditional Arabic"/>
          <w:sz w:val="28"/>
          <w:szCs w:val="28"/>
          <w:rtl/>
        </w:rPr>
        <w:t xml:space="preserve"> بشيء في يده إما </w:t>
      </w:r>
      <w:r w:rsidRPr="00027BB7">
        <w:rPr>
          <w:rFonts w:ascii="Traditional Arabic" w:hAnsi="Traditional Arabic" w:hint="cs"/>
          <w:sz w:val="28"/>
          <w:szCs w:val="28"/>
          <w:rtl/>
        </w:rPr>
        <w:t>ب</w:t>
      </w:r>
      <w:r w:rsidRPr="00027BB7">
        <w:rPr>
          <w:rFonts w:ascii="Traditional Arabic" w:hAnsi="Traditional Arabic"/>
          <w:sz w:val="28"/>
          <w:szCs w:val="28"/>
          <w:rtl/>
        </w:rPr>
        <w:t>محجن أو غيره، أو يشير إذا لم يستطع ذلك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 مكبرًا، </w:t>
      </w:r>
      <w:r w:rsidRPr="00027BB7">
        <w:rPr>
          <w:rFonts w:ascii="Traditional Arabic" w:hAnsi="Traditional Arabic"/>
          <w:sz w:val="28"/>
          <w:szCs w:val="28"/>
          <w:rtl/>
        </w:rPr>
        <w:t xml:space="preserve">فالإشارة المقرونة بالتكبير نائبة مناب الاستلام، </w:t>
      </w:r>
      <w:r w:rsidRPr="00027BB7">
        <w:rPr>
          <w:rFonts w:ascii="Traditional Arabic" w:hAnsi="Traditional Arabic" w:hint="cs"/>
          <w:sz w:val="28"/>
          <w:szCs w:val="28"/>
          <w:rtl/>
        </w:rPr>
        <w:t>ف</w:t>
      </w:r>
      <w:r w:rsidRPr="00027BB7">
        <w:rPr>
          <w:rFonts w:ascii="Traditional Arabic" w:hAnsi="Traditional Arabic"/>
          <w:sz w:val="28"/>
          <w:szCs w:val="28"/>
          <w:rtl/>
        </w:rPr>
        <w:t>إذا كانوا يمسحون الركن الفاتحة والخاتمة،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 فمن لازم ذلك أن من لم يستطع المسح يشير </w:t>
      </w:r>
      <w:r w:rsidRPr="00027BB7">
        <w:rPr>
          <w:rFonts w:ascii="Traditional Arabic" w:hAnsi="Traditional Arabic"/>
          <w:sz w:val="28"/>
          <w:szCs w:val="28"/>
          <w:rtl/>
        </w:rPr>
        <w:t>في الفاتحة والخاتمة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 مع التكبير؛ </w:t>
      </w:r>
      <w:r w:rsidRPr="00027BB7">
        <w:rPr>
          <w:rFonts w:ascii="Traditional Arabic" w:hAnsi="Traditional Arabic"/>
          <w:sz w:val="28"/>
          <w:szCs w:val="28"/>
          <w:rtl/>
        </w:rPr>
        <w:t>لأن</w:t>
      </w:r>
      <w:r w:rsidRPr="00027BB7">
        <w:rPr>
          <w:rFonts w:ascii="Traditional Arabic" w:hAnsi="Traditional Arabic" w:hint="cs"/>
          <w:sz w:val="28"/>
          <w:szCs w:val="28"/>
          <w:rtl/>
        </w:rPr>
        <w:t xml:space="preserve"> ذلك </w:t>
      </w:r>
      <w:r w:rsidRPr="00027BB7">
        <w:rPr>
          <w:rFonts w:ascii="Traditional Arabic" w:hAnsi="Traditional Arabic"/>
          <w:sz w:val="28"/>
          <w:szCs w:val="28"/>
          <w:rtl/>
        </w:rPr>
        <w:t>بد</w:t>
      </w:r>
      <w:r w:rsidRPr="00027BB7">
        <w:rPr>
          <w:rFonts w:ascii="Traditional Arabic" w:hAnsi="Traditional Arabic" w:hint="cs"/>
          <w:sz w:val="28"/>
          <w:szCs w:val="28"/>
          <w:rtl/>
        </w:rPr>
        <w:t>ل من الاستلام.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9F"/>
    <w:rsid w:val="000F759F"/>
    <w:rsid w:val="00530D34"/>
    <w:rsid w:val="006E515B"/>
    <w:rsid w:val="0095429D"/>
    <w:rsid w:val="00CF0D4E"/>
    <w:rsid w:val="00DB33AD"/>
    <w:rsid w:val="00E61B7C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014E"/>
  <w15:chartTrackingRefBased/>
  <w15:docId w15:val="{36D5B02E-6696-45E5-8755-A447A178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7C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2021-07-21T16:33:00Z</dcterms:created>
  <dcterms:modified xsi:type="dcterms:W3CDTF">2021-07-22T14:46:00Z</dcterms:modified>
</cp:coreProperties>
</file>