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3D79E" w14:textId="77777777" w:rsidR="00A35EA8" w:rsidRPr="002214AD" w:rsidRDefault="00A35EA8" w:rsidP="000A7775">
      <w:pPr>
        <w:framePr w:hSpace="180" w:wrap="around" w:vAnchor="text" w:hAnchor="page" w:x="4767" w:y="79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137059">
        <w:rPr>
          <w:rFonts w:ascii="Traditional Arabic" w:hAnsi="Traditional Arabic" w:hint="cs"/>
          <w:b/>
          <w:bCs/>
          <w:sz w:val="28"/>
          <w:szCs w:val="28"/>
          <w:rtl/>
        </w:rPr>
        <w:t>الجمع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Pr="00137059">
        <w:rPr>
          <w:rFonts w:ascii="Traditional Arabic" w:hAnsi="Traditional Arabic" w:hint="cs"/>
          <w:b/>
          <w:bCs/>
          <w:sz w:val="28"/>
          <w:szCs w:val="28"/>
          <w:rtl/>
        </w:rPr>
        <w:t>بين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Pr="00137059">
        <w:rPr>
          <w:rFonts w:ascii="Traditional Arabic" w:hAnsi="Traditional Arabic" w:hint="cs"/>
          <w:b/>
          <w:bCs/>
          <w:sz w:val="28"/>
          <w:szCs w:val="28"/>
          <w:rtl/>
        </w:rPr>
        <w:t>الروايات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Pr="00137059">
        <w:rPr>
          <w:rFonts w:ascii="Traditional Arabic" w:hAnsi="Traditional Arabic" w:hint="cs"/>
          <w:b/>
          <w:bCs/>
          <w:sz w:val="28"/>
          <w:szCs w:val="28"/>
          <w:rtl/>
        </w:rPr>
        <w:t>في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Pr="00137059">
        <w:rPr>
          <w:rFonts w:ascii="Traditional Arabic" w:hAnsi="Traditional Arabic" w:hint="cs"/>
          <w:b/>
          <w:bCs/>
          <w:sz w:val="28"/>
          <w:szCs w:val="28"/>
          <w:rtl/>
        </w:rPr>
        <w:t>نسك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Pr="00137059">
        <w:rPr>
          <w:rFonts w:ascii="Traditional Arabic" w:hAnsi="Traditional Arabic" w:hint="cs"/>
          <w:b/>
          <w:bCs/>
          <w:sz w:val="28"/>
          <w:szCs w:val="28"/>
          <w:rtl/>
        </w:rPr>
        <w:t>النبي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صلى الله عليه وسلم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027BB83C" w14:textId="77777777" w:rsidR="000A7775" w:rsidRDefault="000A7775" w:rsidP="000A777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3DF7A00F" w14:textId="77777777" w:rsidR="000A7775" w:rsidRDefault="000A7775" w:rsidP="000A777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712E71F1" w14:textId="5F5794E3" w:rsidR="000A7775" w:rsidRPr="00137059" w:rsidRDefault="000A7775" w:rsidP="000A777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137059">
        <w:rPr>
          <w:rFonts w:ascii="Traditional Arabic" w:hAnsi="Traditional Arabic" w:hint="cs"/>
          <w:sz w:val="28"/>
          <w:szCs w:val="28"/>
          <w:rtl/>
        </w:rPr>
        <w:t>اختلفت الروايات عنه صلى الله عليه وسلم في نوع نسكه، ف</w:t>
      </w:r>
      <w:r w:rsidRPr="00137059">
        <w:rPr>
          <w:rFonts w:ascii="Traditional Arabic" w:hAnsi="Traditional Arabic"/>
          <w:sz w:val="28"/>
          <w:szCs w:val="28"/>
          <w:rtl/>
        </w:rPr>
        <w:t>جاء أنه حج مفردًا، و</w:t>
      </w:r>
      <w:r w:rsidRPr="00137059">
        <w:rPr>
          <w:rFonts w:ascii="Traditional Arabic" w:hAnsi="Traditional Arabic" w:hint="cs"/>
          <w:sz w:val="28"/>
          <w:szCs w:val="28"/>
          <w:rtl/>
        </w:rPr>
        <w:t>جاء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أنه تمتع، وثبت في رواية الأكثر أنه حج قارنًا</w:t>
      </w:r>
      <w:r w:rsidRPr="00137059">
        <w:rPr>
          <w:rFonts w:ascii="Traditional Arabic" w:hAnsi="Traditional Arabic" w:hint="cs"/>
          <w:sz w:val="28"/>
          <w:szCs w:val="28"/>
          <w:rtl/>
        </w:rPr>
        <w:t>. فدلّ قوله صلى الله عليه وسلم</w:t>
      </w:r>
      <w:r w:rsidRPr="00137059">
        <w:rPr>
          <w:rFonts w:ascii="Traditional Arabic" w:hAnsi="Traditional Arabic"/>
          <w:sz w:val="28"/>
          <w:szCs w:val="28"/>
          <w:rtl/>
        </w:rPr>
        <w:t xml:space="preserve">: </w:t>
      </w:r>
      <w:r w:rsidRPr="00804828">
        <w:rPr>
          <w:rFonts w:ascii="Traditional Arabic" w:hAnsi="Traditional Arabic"/>
          <w:color w:val="0000FF"/>
          <w:sz w:val="28"/>
          <w:szCs w:val="28"/>
          <w:rtl/>
        </w:rPr>
        <w:t>«لَوْ أَنِّي اسْتَقْبَلْتُ مِنْ أَمْرِي مَا اسْتَدْبَرْتُ لَمْ أَسُقِ الْهَدْيَ، وَجَعَلْتُهَا عُمْرَةً»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137059">
        <w:rPr>
          <w:rFonts w:ascii="Traditional Arabic" w:hAnsi="Traditional Arabic" w:hint="cs"/>
          <w:sz w:val="20"/>
          <w:szCs w:val="20"/>
          <w:rtl/>
        </w:rPr>
        <w:t>[مسلم</w:t>
      </w:r>
      <w:r w:rsidRPr="00137059">
        <w:rPr>
          <w:rFonts w:ascii="Traditional Arabic" w:hAnsi="Traditional Arabic"/>
          <w:sz w:val="20"/>
          <w:szCs w:val="20"/>
          <w:rtl/>
        </w:rPr>
        <w:t xml:space="preserve"> (1218)</w:t>
      </w:r>
      <w:r w:rsidRPr="00137059">
        <w:rPr>
          <w:rFonts w:ascii="Traditional Arabic" w:hAnsi="Traditional Arabic" w:hint="cs"/>
          <w:sz w:val="20"/>
          <w:szCs w:val="20"/>
          <w:rtl/>
        </w:rPr>
        <w:t>]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137059">
        <w:rPr>
          <w:rFonts w:ascii="Traditional Arabic" w:hAnsi="Traditional Arabic"/>
          <w:sz w:val="28"/>
          <w:szCs w:val="28"/>
          <w:rtl/>
        </w:rPr>
        <w:t>على أنه لم يعتمر عمرة كاملة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منفصلة عن حجه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بطوافها وسعيها و</w:t>
      </w:r>
      <w:r w:rsidRPr="00137059">
        <w:rPr>
          <w:rFonts w:ascii="Traditional Arabic" w:hAnsi="Traditional Arabic" w:hint="cs"/>
          <w:sz w:val="28"/>
          <w:szCs w:val="28"/>
          <w:rtl/>
        </w:rPr>
        <w:t>ال</w:t>
      </w:r>
      <w:r w:rsidRPr="00137059">
        <w:rPr>
          <w:rFonts w:ascii="Traditional Arabic" w:hAnsi="Traditional Arabic"/>
          <w:sz w:val="28"/>
          <w:szCs w:val="28"/>
          <w:rtl/>
        </w:rPr>
        <w:t>تقصير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بعد</w:t>
      </w:r>
      <w:r w:rsidRPr="00137059">
        <w:rPr>
          <w:rFonts w:ascii="Traditional Arabic" w:hAnsi="Traditional Arabic"/>
          <w:sz w:val="28"/>
          <w:szCs w:val="28"/>
          <w:rtl/>
        </w:rPr>
        <w:t>ها والتحلل الكامل منها</w:t>
      </w:r>
      <w:r w:rsidRPr="00137059">
        <w:rPr>
          <w:rFonts w:ascii="Traditional Arabic" w:hAnsi="Traditional Arabic" w:hint="cs"/>
          <w:sz w:val="28"/>
          <w:szCs w:val="28"/>
          <w:rtl/>
        </w:rPr>
        <w:t>.</w:t>
      </w:r>
    </w:p>
    <w:p w14:paraId="1DD6176D" w14:textId="77777777" w:rsidR="000A7775" w:rsidRPr="00137059" w:rsidRDefault="000A7775" w:rsidP="000A777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137059">
        <w:rPr>
          <w:rFonts w:ascii="Traditional Arabic" w:hAnsi="Traditional Arabic" w:hint="cs"/>
          <w:sz w:val="28"/>
          <w:szCs w:val="28"/>
          <w:rtl/>
        </w:rPr>
        <w:t>ف</w:t>
      </w:r>
      <w:r w:rsidRPr="00137059">
        <w:rPr>
          <w:rFonts w:ascii="Traditional Arabic" w:hAnsi="Traditional Arabic"/>
          <w:sz w:val="28"/>
          <w:szCs w:val="28"/>
          <w:rtl/>
        </w:rPr>
        <w:t>كيف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إذن يجمع بينها وبين رواية من روى </w:t>
      </w:r>
      <w:r w:rsidRPr="00137059">
        <w:rPr>
          <w:rFonts w:ascii="Traditional Arabic" w:hAnsi="Traditional Arabic"/>
          <w:sz w:val="28"/>
          <w:szCs w:val="28"/>
          <w:rtl/>
        </w:rPr>
        <w:t>أنه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حج مفردًا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، ورواية </w:t>
      </w:r>
      <w:r w:rsidRPr="00137059">
        <w:rPr>
          <w:rFonts w:ascii="Traditional Arabic" w:hAnsi="Traditional Arabic"/>
          <w:sz w:val="28"/>
          <w:szCs w:val="28"/>
          <w:rtl/>
        </w:rPr>
        <w:t>عمران بن حصين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رضي الله عنه وغيره</w:t>
      </w:r>
      <w:r w:rsidRPr="00137059">
        <w:rPr>
          <w:rFonts w:ascii="Traditional Arabic" w:hAnsi="Traditional Arabic"/>
          <w:sz w:val="28"/>
          <w:szCs w:val="28"/>
          <w:rtl/>
        </w:rPr>
        <w:t xml:space="preserve">: </w:t>
      </w:r>
      <w:r w:rsidRPr="00804828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804828">
        <w:rPr>
          <w:rFonts w:ascii="Traditional Arabic" w:hAnsi="Traditional Arabic"/>
          <w:color w:val="0000FF"/>
          <w:sz w:val="28"/>
          <w:szCs w:val="28"/>
          <w:rtl/>
        </w:rPr>
        <w:t>تمتع رسول الله</w:t>
      </w:r>
      <w:r w:rsidRPr="00804828">
        <w:rPr>
          <w:rFonts w:ascii="Traditional Arabic" w:hAnsi="Traditional Arabic" w:hint="cs"/>
          <w:color w:val="0000FF"/>
          <w:sz w:val="28"/>
          <w:szCs w:val="28"/>
          <w:rtl/>
        </w:rPr>
        <w:t xml:space="preserve"> صلى الله عليه وسلم</w:t>
      </w:r>
      <w:r w:rsidRPr="00804828">
        <w:rPr>
          <w:rFonts w:ascii="Traditional Arabic" w:hAnsi="Traditional Arabic"/>
          <w:color w:val="0000FF"/>
          <w:sz w:val="28"/>
          <w:szCs w:val="28"/>
          <w:rtl/>
        </w:rPr>
        <w:t xml:space="preserve"> وتمتعنا معه</w:t>
      </w:r>
      <w:r w:rsidRPr="00804828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137059">
        <w:rPr>
          <w:rFonts w:ascii="Traditional Arabic" w:hAnsi="Traditional Arabic" w:hint="cs"/>
          <w:sz w:val="20"/>
          <w:szCs w:val="20"/>
          <w:rtl/>
        </w:rPr>
        <w:t>[</w:t>
      </w:r>
      <w:r w:rsidRPr="00137059">
        <w:rPr>
          <w:rFonts w:ascii="Traditional Arabic" w:hAnsi="Traditional Arabic"/>
          <w:sz w:val="20"/>
          <w:szCs w:val="20"/>
          <w:rtl/>
        </w:rPr>
        <w:t>مسلم (1226)</w:t>
      </w:r>
      <w:r w:rsidRPr="00137059">
        <w:rPr>
          <w:rFonts w:ascii="Traditional Arabic" w:hAnsi="Traditional Arabic" w:hint="cs"/>
          <w:sz w:val="20"/>
          <w:szCs w:val="20"/>
          <w:rtl/>
        </w:rPr>
        <w:t>]</w:t>
      </w:r>
      <w:r w:rsidRPr="00137059">
        <w:rPr>
          <w:rFonts w:ascii="Traditional Arabic" w:hAnsi="Traditional Arabic"/>
          <w:sz w:val="28"/>
          <w:szCs w:val="28"/>
          <w:rtl/>
        </w:rPr>
        <w:t>؟</w:t>
      </w:r>
    </w:p>
    <w:p w14:paraId="394D613A" w14:textId="77777777" w:rsidR="000A7775" w:rsidRPr="00137059" w:rsidRDefault="000A7775" w:rsidP="000A777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137059">
        <w:rPr>
          <w:rFonts w:ascii="Traditional Arabic" w:hAnsi="Traditional Arabic" w:hint="cs"/>
          <w:sz w:val="28"/>
          <w:szCs w:val="28"/>
          <w:rtl/>
        </w:rPr>
        <w:t xml:space="preserve">فبعض أهل العلم ممن هاب توهيم الرواة قال بتعدد القصة. ولا يمكن حمل الروايات في نوع نسكه صلى الله عليه وسلم على </w:t>
      </w:r>
      <w:r w:rsidRPr="00137059">
        <w:rPr>
          <w:rFonts w:ascii="Traditional Arabic" w:hAnsi="Traditional Arabic"/>
          <w:sz w:val="28"/>
          <w:szCs w:val="28"/>
          <w:rtl/>
        </w:rPr>
        <w:t>تعدد القصة</w:t>
      </w:r>
      <w:r w:rsidRPr="00137059">
        <w:rPr>
          <w:rFonts w:ascii="Traditional Arabic" w:hAnsi="Traditional Arabic" w:hint="cs"/>
          <w:sz w:val="28"/>
          <w:szCs w:val="28"/>
          <w:rtl/>
        </w:rPr>
        <w:t>، بم</w:t>
      </w:r>
      <w:r w:rsidRPr="00137059">
        <w:rPr>
          <w:rFonts w:ascii="Traditional Arabic" w:hAnsi="Traditional Arabic"/>
          <w:sz w:val="28"/>
          <w:szCs w:val="28"/>
          <w:rtl/>
        </w:rPr>
        <w:t>عن</w:t>
      </w:r>
      <w:r w:rsidRPr="00137059">
        <w:rPr>
          <w:rFonts w:ascii="Traditional Arabic" w:hAnsi="Traditional Arabic" w:hint="cs"/>
          <w:sz w:val="28"/>
          <w:szCs w:val="28"/>
          <w:rtl/>
        </w:rPr>
        <w:t>ى: أنه حج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مرة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137059">
        <w:rPr>
          <w:rFonts w:ascii="Traditional Arabic" w:hAnsi="Traditional Arabic"/>
          <w:sz w:val="28"/>
          <w:szCs w:val="28"/>
          <w:rtl/>
        </w:rPr>
        <w:t>متمتع</w:t>
      </w:r>
      <w:r w:rsidRPr="00137059">
        <w:rPr>
          <w:rFonts w:ascii="Traditional Arabic" w:hAnsi="Traditional Arabic" w:hint="cs"/>
          <w:sz w:val="28"/>
          <w:szCs w:val="28"/>
          <w:rtl/>
        </w:rPr>
        <w:t>ًا،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ومرة قارن</w:t>
      </w:r>
      <w:r w:rsidRPr="00137059">
        <w:rPr>
          <w:rFonts w:ascii="Traditional Arabic" w:hAnsi="Traditional Arabic" w:hint="cs"/>
          <w:sz w:val="28"/>
          <w:szCs w:val="28"/>
          <w:rtl/>
        </w:rPr>
        <w:t>ًا، و</w:t>
      </w:r>
      <w:r w:rsidRPr="00137059">
        <w:rPr>
          <w:rFonts w:ascii="Traditional Arabic" w:hAnsi="Traditional Arabic"/>
          <w:sz w:val="28"/>
          <w:szCs w:val="28"/>
          <w:rtl/>
        </w:rPr>
        <w:t>مرة مفرد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ًا؛ لأنَّ </w:t>
      </w:r>
      <w:r w:rsidRPr="00137059">
        <w:rPr>
          <w:rFonts w:ascii="Traditional Arabic" w:hAnsi="Traditional Arabic"/>
          <w:sz w:val="28"/>
          <w:szCs w:val="28"/>
          <w:rtl/>
        </w:rPr>
        <w:t xml:space="preserve">النبي </w:t>
      </w:r>
      <w:r w:rsidRPr="00137059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لم يحج إلا مرة واحدة بعد فرض الحج إجماعًا</w:t>
      </w:r>
      <w:r w:rsidRPr="00137059">
        <w:rPr>
          <w:rFonts w:ascii="Traditional Arabic" w:hAnsi="Traditional Arabic" w:hint="cs"/>
          <w:sz w:val="28"/>
          <w:szCs w:val="28"/>
          <w:rtl/>
        </w:rPr>
        <w:t>.</w:t>
      </w:r>
    </w:p>
    <w:p w14:paraId="6897C37D" w14:textId="77777777" w:rsidR="000A7775" w:rsidRPr="00137059" w:rsidRDefault="000A7775" w:rsidP="000A777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137059">
        <w:rPr>
          <w:rFonts w:ascii="Traditional Arabic" w:hAnsi="Traditional Arabic" w:hint="cs"/>
          <w:sz w:val="28"/>
          <w:szCs w:val="28"/>
          <w:rtl/>
        </w:rPr>
        <w:t>وهناك من جَرُؤَ وقال</w:t>
      </w:r>
      <w:r w:rsidRPr="00137059">
        <w:rPr>
          <w:rFonts w:ascii="Traditional Arabic" w:hAnsi="Traditional Arabic"/>
          <w:sz w:val="28"/>
          <w:szCs w:val="28"/>
          <w:rtl/>
        </w:rPr>
        <w:t xml:space="preserve">: </w:t>
      </w:r>
      <w:r w:rsidRPr="00804828">
        <w:rPr>
          <w:rFonts w:ascii="Traditional Arabic" w:hAnsi="Traditional Arabic"/>
          <w:color w:val="0000FF"/>
          <w:sz w:val="28"/>
          <w:szCs w:val="28"/>
          <w:rtl/>
        </w:rPr>
        <w:t>«لا مانع من أن يخطئ الثقة»</w:t>
      </w:r>
      <w:r w:rsidRPr="00137059">
        <w:rPr>
          <w:rFonts w:ascii="Traditional Arabic" w:hAnsi="Traditional Arabic" w:hint="cs"/>
          <w:sz w:val="28"/>
          <w:szCs w:val="28"/>
          <w:rtl/>
        </w:rPr>
        <w:t>،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والأمر كذلك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عمومًا</w:t>
      </w:r>
      <w:r w:rsidRPr="00137059">
        <w:rPr>
          <w:rFonts w:ascii="Traditional Arabic" w:hAnsi="Traditional Arabic"/>
          <w:sz w:val="28"/>
          <w:szCs w:val="28"/>
          <w:rtl/>
        </w:rPr>
        <w:t xml:space="preserve">، فالراوي مهما بلغ من الحفظ والضبط والإتقان 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قد </w:t>
      </w:r>
      <w:r w:rsidRPr="00137059">
        <w:rPr>
          <w:rFonts w:ascii="Traditional Arabic" w:hAnsi="Traditional Arabic"/>
          <w:sz w:val="28"/>
          <w:szCs w:val="28"/>
          <w:rtl/>
        </w:rPr>
        <w:t xml:space="preserve">يخطئ، </w:t>
      </w:r>
      <w:r w:rsidRPr="00137059">
        <w:rPr>
          <w:rFonts w:ascii="Traditional Arabic" w:hAnsi="Traditional Arabic" w:hint="cs"/>
          <w:sz w:val="28"/>
          <w:szCs w:val="28"/>
          <w:rtl/>
        </w:rPr>
        <w:t>و</w:t>
      </w:r>
      <w:r w:rsidRPr="00137059">
        <w:rPr>
          <w:rFonts w:ascii="Traditional Arabic" w:hAnsi="Traditional Arabic"/>
          <w:sz w:val="28"/>
          <w:szCs w:val="28"/>
          <w:rtl/>
        </w:rPr>
        <w:t>يتطرق إليه السهو والغفلة والنسيان</w:t>
      </w:r>
      <w:r w:rsidRPr="00137059">
        <w:rPr>
          <w:rFonts w:ascii="Traditional Arabic" w:hAnsi="Traditional Arabic" w:hint="cs"/>
          <w:sz w:val="28"/>
          <w:szCs w:val="28"/>
          <w:rtl/>
        </w:rPr>
        <w:t>، فهو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ليس بمعصوم.</w:t>
      </w:r>
    </w:p>
    <w:p w14:paraId="21336EF3" w14:textId="77777777" w:rsidR="000A7775" w:rsidRPr="00137059" w:rsidRDefault="000A7775" w:rsidP="000A777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137059">
        <w:rPr>
          <w:rFonts w:ascii="Traditional Arabic" w:hAnsi="Traditional Arabic" w:hint="cs"/>
          <w:sz w:val="28"/>
          <w:szCs w:val="28"/>
          <w:rtl/>
        </w:rPr>
        <w:t>أما هنا فقد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جمع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بعض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أهل العلم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بين الروايات المختلفة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في أنواع </w:t>
      </w:r>
      <w:r w:rsidRPr="00137059">
        <w:rPr>
          <w:rFonts w:ascii="Traditional Arabic" w:hAnsi="Traditional Arabic" w:hint="cs"/>
          <w:sz w:val="28"/>
          <w:szCs w:val="28"/>
          <w:rtl/>
        </w:rPr>
        <w:t>نسكه صلى الله عليه وسلم</w:t>
      </w:r>
      <w:r w:rsidRPr="00137059">
        <w:rPr>
          <w:rFonts w:ascii="Traditional Arabic" w:hAnsi="Traditional Arabic"/>
          <w:sz w:val="28"/>
          <w:szCs w:val="28"/>
          <w:rtl/>
        </w:rPr>
        <w:t>،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بأن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من قال: </w:t>
      </w:r>
      <w:r w:rsidRPr="00804828">
        <w:rPr>
          <w:rFonts w:ascii="Traditional Arabic" w:hAnsi="Traditional Arabic"/>
          <w:color w:val="0000FF"/>
          <w:sz w:val="28"/>
          <w:szCs w:val="28"/>
          <w:rtl/>
        </w:rPr>
        <w:t>«</w:t>
      </w:r>
      <w:r w:rsidRPr="00804828">
        <w:rPr>
          <w:rFonts w:ascii="Traditional Arabic" w:hAnsi="Traditional Arabic" w:hint="cs"/>
          <w:color w:val="0000FF"/>
          <w:sz w:val="28"/>
          <w:szCs w:val="28"/>
          <w:rtl/>
        </w:rPr>
        <w:t>إ</w:t>
      </w:r>
      <w:r w:rsidRPr="00804828">
        <w:rPr>
          <w:rFonts w:ascii="Traditional Arabic" w:hAnsi="Traditional Arabic"/>
          <w:color w:val="0000FF"/>
          <w:sz w:val="28"/>
          <w:szCs w:val="28"/>
          <w:rtl/>
        </w:rPr>
        <w:t>نه</w:t>
      </w:r>
      <w:r w:rsidRPr="00804828">
        <w:rPr>
          <w:rFonts w:ascii="Traditional Arabic" w:hAnsi="Traditional Arabic" w:hint="cs"/>
          <w:color w:val="0000FF"/>
          <w:sz w:val="28"/>
          <w:szCs w:val="28"/>
          <w:rtl/>
        </w:rPr>
        <w:t xml:space="preserve"> صلى الله عليه وسلم</w:t>
      </w:r>
      <w:r w:rsidRPr="00804828">
        <w:rPr>
          <w:rFonts w:ascii="Traditional Arabic" w:hAnsi="Traditional Arabic"/>
          <w:color w:val="0000FF"/>
          <w:sz w:val="28"/>
          <w:szCs w:val="28"/>
          <w:rtl/>
        </w:rPr>
        <w:t xml:space="preserve"> كان مفر</w:t>
      </w:r>
      <w:r w:rsidRPr="00804828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804828">
        <w:rPr>
          <w:rFonts w:ascii="Traditional Arabic" w:hAnsi="Traditional Arabic"/>
          <w:color w:val="0000FF"/>
          <w:sz w:val="28"/>
          <w:szCs w:val="28"/>
          <w:rtl/>
        </w:rPr>
        <w:t>دًا»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نظر إلى إحرامه أولًا، فهم</w:t>
      </w:r>
      <w:r w:rsidRPr="00137059">
        <w:rPr>
          <w:rFonts w:ascii="Traditional Arabic" w:hAnsi="Traditional Arabic" w:hint="cs"/>
          <w:sz w:val="28"/>
          <w:szCs w:val="28"/>
          <w:rtl/>
        </w:rPr>
        <w:t>ْ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لما خرجوا من المدينة ما كانوا يعرفو</w:t>
      </w:r>
      <w:r w:rsidRPr="00137059">
        <w:rPr>
          <w:rFonts w:ascii="Traditional Arabic" w:hAnsi="Traditional Arabic" w:hint="cs"/>
          <w:sz w:val="28"/>
          <w:szCs w:val="28"/>
          <w:rtl/>
        </w:rPr>
        <w:t>ن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إلا الحج، ما كانوا يعرفون العمرة مع الحج</w:t>
      </w:r>
      <w:r w:rsidRPr="00137059">
        <w:rPr>
          <w:rFonts w:ascii="Traditional Arabic" w:hAnsi="Traditional Arabic" w:hint="cs"/>
          <w:sz w:val="28"/>
          <w:szCs w:val="28"/>
          <w:rtl/>
        </w:rPr>
        <w:t>،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ثم أ</w:t>
      </w:r>
      <w:r w:rsidRPr="00137059">
        <w:rPr>
          <w:rFonts w:ascii="Traditional Arabic" w:hAnsi="Traditional Arabic" w:hint="cs"/>
          <w:sz w:val="28"/>
          <w:szCs w:val="28"/>
          <w:rtl/>
        </w:rPr>
        <w:t>ُ</w:t>
      </w:r>
      <w:r w:rsidRPr="00137059">
        <w:rPr>
          <w:rFonts w:ascii="Traditional Arabic" w:hAnsi="Traditional Arabic"/>
          <w:sz w:val="28"/>
          <w:szCs w:val="28"/>
          <w:rtl/>
        </w:rPr>
        <w:t>مر بالقران، فقيل له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137059">
        <w:rPr>
          <w:rFonts w:ascii="Traditional Arabic" w:hAnsi="Traditional Arabic"/>
          <w:sz w:val="28"/>
          <w:szCs w:val="28"/>
          <w:rtl/>
        </w:rPr>
        <w:t>: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804828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804828">
        <w:rPr>
          <w:rFonts w:ascii="Traditional Arabic" w:hAnsi="Traditional Arabic"/>
          <w:color w:val="0000FF"/>
          <w:sz w:val="28"/>
          <w:szCs w:val="28"/>
          <w:rtl/>
        </w:rPr>
        <w:t>صل في هذا الوادي المبارك وقل عمرة في حجة</w:t>
      </w:r>
      <w:r w:rsidRPr="00804828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137059">
        <w:rPr>
          <w:rFonts w:ascii="Traditional Arabic" w:hAnsi="Traditional Arabic" w:hint="cs"/>
          <w:sz w:val="20"/>
          <w:szCs w:val="20"/>
          <w:rtl/>
        </w:rPr>
        <w:t>[</w:t>
      </w:r>
      <w:r w:rsidRPr="00137059">
        <w:rPr>
          <w:rFonts w:ascii="Traditional Arabic" w:hAnsi="Traditional Arabic"/>
          <w:sz w:val="20"/>
          <w:szCs w:val="20"/>
          <w:rtl/>
        </w:rPr>
        <w:t>البخاري (1534)</w:t>
      </w:r>
      <w:r w:rsidRPr="00137059">
        <w:rPr>
          <w:rFonts w:ascii="Traditional Arabic" w:hAnsi="Traditional Arabic" w:hint="cs"/>
          <w:sz w:val="20"/>
          <w:szCs w:val="20"/>
          <w:rtl/>
        </w:rPr>
        <w:t>]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137059">
        <w:rPr>
          <w:rFonts w:ascii="Traditional Arabic" w:hAnsi="Traditional Arabic"/>
          <w:sz w:val="28"/>
          <w:szCs w:val="28"/>
          <w:rtl/>
        </w:rPr>
        <w:t>أو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أنه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نظر إلى صورة فعله </w:t>
      </w:r>
      <w:r w:rsidRPr="00137059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137059">
        <w:rPr>
          <w:rFonts w:ascii="Traditional Arabic" w:hAnsi="Traditional Arabic"/>
          <w:sz w:val="28"/>
          <w:szCs w:val="28"/>
          <w:rtl/>
        </w:rPr>
        <w:t xml:space="preserve">، </w:t>
      </w:r>
      <w:r w:rsidRPr="00137059">
        <w:rPr>
          <w:rFonts w:ascii="Traditional Arabic" w:hAnsi="Traditional Arabic" w:hint="cs"/>
          <w:sz w:val="28"/>
          <w:szCs w:val="28"/>
          <w:rtl/>
        </w:rPr>
        <w:t>إذْ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لا فرق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بين صورة حج القارن وصورة حج المفرد إلا في الهدي.</w:t>
      </w:r>
    </w:p>
    <w:p w14:paraId="4D342044" w14:textId="77777777" w:rsidR="000A7775" w:rsidRPr="00137059" w:rsidRDefault="000A7775" w:rsidP="000A777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137059">
        <w:rPr>
          <w:rFonts w:ascii="Traditional Arabic" w:hAnsi="Traditional Arabic" w:hint="cs"/>
          <w:sz w:val="28"/>
          <w:szCs w:val="28"/>
          <w:rtl/>
        </w:rPr>
        <w:t xml:space="preserve">ومن قال: </w:t>
      </w:r>
      <w:r w:rsidRPr="00804828">
        <w:rPr>
          <w:rFonts w:ascii="Traditional Arabic" w:hAnsi="Traditional Arabic"/>
          <w:color w:val="0000FF"/>
          <w:sz w:val="28"/>
          <w:szCs w:val="28"/>
          <w:rtl/>
        </w:rPr>
        <w:t>«</w:t>
      </w:r>
      <w:r w:rsidRPr="00804828">
        <w:rPr>
          <w:rFonts w:ascii="Traditional Arabic" w:hAnsi="Traditional Arabic" w:hint="cs"/>
          <w:color w:val="0000FF"/>
          <w:sz w:val="28"/>
          <w:szCs w:val="28"/>
          <w:rtl/>
        </w:rPr>
        <w:t>إنه صلى الله عليه وسلم كان قارنًا</w:t>
      </w:r>
      <w:r w:rsidRPr="00804828">
        <w:rPr>
          <w:rFonts w:ascii="Traditional Arabic" w:hAnsi="Traditional Arabic"/>
          <w:color w:val="0000FF"/>
          <w:sz w:val="28"/>
          <w:szCs w:val="28"/>
          <w:rtl/>
        </w:rPr>
        <w:t>»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فقد حكى الواقع، وهذه رواية الأكثر.</w:t>
      </w:r>
    </w:p>
    <w:p w14:paraId="2A4BC524" w14:textId="721B50E5" w:rsidR="00DB33AD" w:rsidRDefault="00A35EA8" w:rsidP="00A35EA8">
      <w:r w:rsidRPr="00137059">
        <w:rPr>
          <w:rFonts w:ascii="Traditional Arabic" w:hAnsi="Traditional Arabic" w:hint="cs"/>
          <w:sz w:val="28"/>
          <w:szCs w:val="28"/>
          <w:rtl/>
        </w:rPr>
        <w:t>و</w:t>
      </w:r>
      <w:r w:rsidRPr="00137059">
        <w:rPr>
          <w:rFonts w:ascii="Traditional Arabic" w:hAnsi="Traditional Arabic"/>
          <w:sz w:val="28"/>
          <w:szCs w:val="28"/>
          <w:rtl/>
        </w:rPr>
        <w:t xml:space="preserve">من قال: </w:t>
      </w:r>
      <w:r w:rsidRPr="00804828">
        <w:rPr>
          <w:rFonts w:ascii="Traditional Arabic" w:hAnsi="Traditional Arabic"/>
          <w:color w:val="0000FF"/>
          <w:sz w:val="28"/>
          <w:szCs w:val="28"/>
          <w:rtl/>
        </w:rPr>
        <w:t>«</w:t>
      </w:r>
      <w:r w:rsidRPr="00804828">
        <w:rPr>
          <w:rFonts w:ascii="Traditional Arabic" w:hAnsi="Traditional Arabic" w:hint="cs"/>
          <w:color w:val="0000FF"/>
          <w:sz w:val="28"/>
          <w:szCs w:val="28"/>
          <w:rtl/>
        </w:rPr>
        <w:t>إنه صلى الله عليه وسلم كان م</w:t>
      </w:r>
      <w:r w:rsidRPr="00804828">
        <w:rPr>
          <w:rFonts w:ascii="Traditional Arabic" w:hAnsi="Traditional Arabic"/>
          <w:color w:val="0000FF"/>
          <w:sz w:val="28"/>
          <w:szCs w:val="28"/>
          <w:rtl/>
        </w:rPr>
        <w:t>تمتع</w:t>
      </w:r>
      <w:r w:rsidRPr="00804828">
        <w:rPr>
          <w:rFonts w:ascii="Traditional Arabic" w:hAnsi="Traditional Arabic" w:hint="cs"/>
          <w:color w:val="0000FF"/>
          <w:sz w:val="28"/>
          <w:szCs w:val="28"/>
          <w:rtl/>
        </w:rPr>
        <w:t>ًا</w:t>
      </w:r>
      <w:r w:rsidRPr="00804828">
        <w:rPr>
          <w:rFonts w:ascii="Traditional Arabic" w:hAnsi="Traditional Arabic"/>
          <w:color w:val="0000FF"/>
          <w:sz w:val="28"/>
          <w:szCs w:val="28"/>
          <w:rtl/>
        </w:rPr>
        <w:t>»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نظر إلى المعنى الأعم للتمتع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، وهو الترفه والإتيان </w:t>
      </w:r>
      <w:r w:rsidRPr="00137059">
        <w:rPr>
          <w:rFonts w:ascii="Traditional Arabic" w:hAnsi="Traditional Arabic"/>
          <w:sz w:val="28"/>
          <w:szCs w:val="28"/>
          <w:rtl/>
        </w:rPr>
        <w:t xml:space="preserve">بالنسكين في سفرةٍ واحدة، ولذا </w:t>
      </w:r>
      <w:r w:rsidRPr="00137059">
        <w:rPr>
          <w:rFonts w:ascii="Traditional Arabic" w:hAnsi="Traditional Arabic" w:hint="cs"/>
          <w:sz w:val="28"/>
          <w:szCs w:val="28"/>
          <w:rtl/>
        </w:rPr>
        <w:t>ف</w:t>
      </w:r>
      <w:r w:rsidRPr="00137059">
        <w:rPr>
          <w:rFonts w:ascii="Traditional Arabic" w:hAnsi="Traditional Arabic"/>
          <w:sz w:val="28"/>
          <w:szCs w:val="28"/>
          <w:rtl/>
        </w:rPr>
        <w:t>قوله تعالى: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804828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804828">
        <w:rPr>
          <w:rFonts w:ascii="Traditional Arabic" w:hAnsi="Traditional Arabic" w:hint="cs"/>
          <w:color w:val="FF0000"/>
          <w:sz w:val="28"/>
          <w:szCs w:val="28"/>
          <w:rtl/>
        </w:rPr>
        <w:t>فَمَنْ تَمَتَّعَ بِالْعُمْرَةِ إِلَى الْحَجِّ فَمَا اسْتَيْسَرَ مِنَ الْهَدْيِ</w:t>
      </w:r>
      <w:r w:rsidRPr="00804828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</w:t>
      </w:r>
      <w:r w:rsidRPr="00137059">
        <w:rPr>
          <w:rFonts w:ascii="Traditional Arabic" w:hAnsi="Traditional Arabic"/>
          <w:sz w:val="20"/>
          <w:szCs w:val="20"/>
          <w:rtl/>
        </w:rPr>
        <w:t>[</w:t>
      </w:r>
      <w:r w:rsidRPr="00137059">
        <w:rPr>
          <w:rFonts w:ascii="Traditional Arabic" w:hAnsi="Traditional Arabic" w:hint="cs"/>
          <w:sz w:val="20"/>
          <w:szCs w:val="20"/>
          <w:rtl/>
        </w:rPr>
        <w:t>البقرة</w:t>
      </w:r>
      <w:r w:rsidRPr="00137059">
        <w:rPr>
          <w:rFonts w:ascii="Traditional Arabic" w:hAnsi="Traditional Arabic"/>
          <w:sz w:val="20"/>
          <w:szCs w:val="20"/>
          <w:rtl/>
        </w:rPr>
        <w:t>: 196]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يشمل النسكين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: </w:t>
      </w:r>
      <w:r w:rsidRPr="00137059">
        <w:rPr>
          <w:rFonts w:ascii="Traditional Arabic" w:hAnsi="Traditional Arabic"/>
          <w:sz w:val="28"/>
          <w:szCs w:val="28"/>
          <w:rtl/>
        </w:rPr>
        <w:t>التمتع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الخاص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والقران، فالمعنى الأعم للتمتع يشمل القران والتمتع</w:t>
      </w:r>
      <w:r w:rsidRPr="00137059">
        <w:rPr>
          <w:rFonts w:ascii="Traditional Arabic" w:hAnsi="Traditional Arabic" w:hint="cs"/>
          <w:sz w:val="28"/>
          <w:szCs w:val="28"/>
          <w:rtl/>
        </w:rPr>
        <w:t xml:space="preserve"> الخاص</w:t>
      </w:r>
      <w:r w:rsidRPr="00137059">
        <w:rPr>
          <w:rFonts w:ascii="Traditional Arabic" w:hAnsi="Traditional Arabic"/>
          <w:sz w:val="28"/>
          <w:szCs w:val="28"/>
          <w:rtl/>
        </w:rPr>
        <w:t xml:space="preserve"> معًا</w:t>
      </w:r>
      <w:r w:rsidRPr="00137059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68"/>
    <w:rsid w:val="000A7775"/>
    <w:rsid w:val="00530D34"/>
    <w:rsid w:val="006E515B"/>
    <w:rsid w:val="00804828"/>
    <w:rsid w:val="0095429D"/>
    <w:rsid w:val="00A35EA8"/>
    <w:rsid w:val="00D64568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6AF30"/>
  <w15:chartTrackingRefBased/>
  <w15:docId w15:val="{0D2CFA83-4DB4-45C9-8695-5778B53F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A8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2021-07-21T16:33:00Z</dcterms:created>
  <dcterms:modified xsi:type="dcterms:W3CDTF">2021-07-23T10:20:00Z</dcterms:modified>
</cp:coreProperties>
</file>