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BE21B" w14:textId="77777777" w:rsidR="00A11386" w:rsidRPr="00CF47B8" w:rsidRDefault="00A11386" w:rsidP="008B2D3B">
      <w:pPr>
        <w:framePr w:hSpace="180" w:wrap="around" w:vAnchor="text" w:hAnchor="page" w:x="5644" w:y="236"/>
        <w:tabs>
          <w:tab w:val="left" w:pos="3466"/>
          <w:tab w:val="left" w:pos="11164"/>
        </w:tabs>
        <w:suppressOverlap/>
        <w:jc w:val="center"/>
        <w:rPr>
          <w:rFonts w:ascii="Traditional Arabic" w:hAnsi="Traditional Arabic"/>
          <w:b/>
          <w:bCs/>
          <w:sz w:val="28"/>
          <w:szCs w:val="28"/>
          <w:rtl/>
        </w:rPr>
      </w:pPr>
      <w:r w:rsidRPr="00CF47B8">
        <w:rPr>
          <w:rFonts w:ascii="Traditional Arabic" w:hAnsi="Traditional Arabic" w:hint="cs"/>
          <w:b/>
          <w:bCs/>
          <w:sz w:val="28"/>
          <w:szCs w:val="28"/>
          <w:rtl/>
        </w:rPr>
        <w:t>[</w:t>
      </w:r>
      <w:r>
        <w:rPr>
          <w:rFonts w:ascii="Traditional Arabic" w:hAnsi="Traditional Arabic" w:hint="cs"/>
          <w:b/>
          <w:bCs/>
          <w:sz w:val="28"/>
          <w:szCs w:val="28"/>
          <w:rtl/>
        </w:rPr>
        <w:t>الخلاف المذموم في الشرع</w:t>
      </w:r>
      <w:r w:rsidRPr="00CF47B8">
        <w:rPr>
          <w:rFonts w:ascii="Traditional Arabic" w:hAnsi="Traditional Arabic" w:hint="cs"/>
          <w:b/>
          <w:bCs/>
          <w:sz w:val="28"/>
          <w:szCs w:val="28"/>
          <w:rtl/>
        </w:rPr>
        <w:t>]</w:t>
      </w:r>
    </w:p>
    <w:p w14:paraId="4A4954BC" w14:textId="77777777" w:rsidR="008B2D3B" w:rsidRDefault="008B2D3B" w:rsidP="008B2D3B">
      <w:pPr>
        <w:tabs>
          <w:tab w:val="left" w:pos="3466"/>
          <w:tab w:val="left" w:pos="11164"/>
        </w:tabs>
        <w:jc w:val="both"/>
        <w:rPr>
          <w:rFonts w:ascii="Traditional Arabic" w:hAnsi="Traditional Arabic"/>
          <w:sz w:val="28"/>
          <w:szCs w:val="28"/>
          <w:rtl/>
        </w:rPr>
      </w:pPr>
    </w:p>
    <w:p w14:paraId="320CB70B" w14:textId="77777777" w:rsidR="008B2D3B" w:rsidRDefault="008B2D3B" w:rsidP="008B2D3B">
      <w:pPr>
        <w:tabs>
          <w:tab w:val="left" w:pos="3466"/>
          <w:tab w:val="left" w:pos="11164"/>
        </w:tabs>
        <w:jc w:val="both"/>
        <w:rPr>
          <w:rFonts w:ascii="Traditional Arabic" w:hAnsi="Traditional Arabic"/>
          <w:sz w:val="28"/>
          <w:szCs w:val="28"/>
          <w:rtl/>
        </w:rPr>
      </w:pPr>
    </w:p>
    <w:p w14:paraId="5CC3AEA6" w14:textId="7A44876F" w:rsidR="008B2D3B" w:rsidRPr="0036673C" w:rsidRDefault="008B2D3B" w:rsidP="008B2D3B">
      <w:pPr>
        <w:tabs>
          <w:tab w:val="left" w:pos="3466"/>
          <w:tab w:val="left" w:pos="11164"/>
        </w:tabs>
        <w:jc w:val="both"/>
        <w:rPr>
          <w:rFonts w:ascii="Traditional Arabic" w:hAnsi="Traditional Arabic"/>
          <w:sz w:val="28"/>
          <w:szCs w:val="28"/>
          <w:rtl/>
        </w:rPr>
      </w:pPr>
      <w:r w:rsidRPr="0036673C">
        <w:rPr>
          <w:rFonts w:ascii="Traditional Arabic" w:hAnsi="Traditional Arabic"/>
          <w:sz w:val="28"/>
          <w:szCs w:val="28"/>
          <w:rtl/>
        </w:rPr>
        <w:t>الخلاف المذموم في الشرع هو ما وصفه سبحانه 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{وَمَا اخْتَلَفَ فِيهِ إِلَّا الَّذِينَ أُوتُوهُ مِنْ بَعْدِ مَا جَاءَتْهُمُ الْبَيِّنَاتُ بَغْيًا بَيْنَهُمْ}</w:t>
      </w:r>
      <w:r w:rsidRPr="0036673C">
        <w:rPr>
          <w:rFonts w:ascii="Traditional Arabic" w:hAnsi="Traditional Arabic"/>
          <w:sz w:val="28"/>
          <w:szCs w:val="28"/>
          <w:rtl/>
        </w:rPr>
        <w:t xml:space="preserve"> </w:t>
      </w:r>
      <w:r w:rsidRPr="0036673C">
        <w:rPr>
          <w:rFonts w:ascii="Traditional Arabic" w:hAnsi="Traditional Arabic"/>
          <w:sz w:val="20"/>
          <w:szCs w:val="20"/>
          <w:rtl/>
        </w:rPr>
        <w:t>[البقرة: 213]</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{وَمَا اخْتَلَفَ الَّذِينَ أُوتُوا الْكِتَابَ إِلَّا مِنْ بَعْدِ مَا جَاءَهُمُ الْعِلْمُ بَغْيًا بَيْنَهُمْ}</w:t>
      </w:r>
      <w:r w:rsidRPr="0036673C">
        <w:rPr>
          <w:rFonts w:ascii="Traditional Arabic" w:hAnsi="Traditional Arabic"/>
          <w:sz w:val="28"/>
          <w:szCs w:val="28"/>
          <w:rtl/>
        </w:rPr>
        <w:t xml:space="preserve"> </w:t>
      </w:r>
      <w:r w:rsidRPr="0036673C">
        <w:rPr>
          <w:rFonts w:ascii="Traditional Arabic" w:hAnsi="Traditional Arabic"/>
          <w:sz w:val="20"/>
          <w:szCs w:val="20"/>
          <w:rtl/>
        </w:rPr>
        <w:t>[آل عمران: 19]</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{فَاخْتَلَفَ الْأَحْزَابُ مِنْ بَيْنِهِمْ فَوَيْلٌ لِلَّذِينَ كَفَرُوا مِنْ مَشْهَدِ يَوْمٍ عَظِيمٍ}</w:t>
      </w:r>
      <w:r w:rsidRPr="0036673C">
        <w:rPr>
          <w:rFonts w:ascii="Traditional Arabic" w:hAnsi="Traditional Arabic"/>
          <w:sz w:val="28"/>
          <w:szCs w:val="28"/>
          <w:rtl/>
        </w:rPr>
        <w:t xml:space="preserve"> </w:t>
      </w:r>
      <w:r w:rsidRPr="0036673C">
        <w:rPr>
          <w:rFonts w:ascii="Traditional Arabic" w:hAnsi="Traditional Arabic"/>
          <w:sz w:val="20"/>
          <w:szCs w:val="20"/>
          <w:rtl/>
        </w:rPr>
        <w:t>[مريم: 37]</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{فَاخْتَلَفَ الْأَحْزَابُ مِنْ بَيْنِهِمْ فَوَيْلٌ لِلَّذِينَ ظَلَمُوا مِنْ عَذَابِ يَوْمٍ أَلِيمٍ}</w:t>
      </w:r>
      <w:r w:rsidRPr="0036673C">
        <w:rPr>
          <w:rFonts w:ascii="Traditional Arabic" w:hAnsi="Traditional Arabic"/>
          <w:sz w:val="28"/>
          <w:szCs w:val="28"/>
          <w:rtl/>
        </w:rPr>
        <w:t xml:space="preserve"> </w:t>
      </w:r>
      <w:r w:rsidRPr="0036673C">
        <w:rPr>
          <w:rFonts w:ascii="Traditional Arabic" w:hAnsi="Traditional Arabic"/>
          <w:sz w:val="20"/>
          <w:szCs w:val="20"/>
          <w:rtl/>
        </w:rPr>
        <w:t>[الزخرف: 65]</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{وَلَا تَكُونُوا كَالَّذِينَ تَفَرَّقُوا وَاخْتَلَفُوا مِنْ بَعْدِ مَا جَاءَهُمُ الْبَيِّنَاتُ}</w:t>
      </w:r>
      <w:r w:rsidRPr="0036673C">
        <w:rPr>
          <w:rFonts w:ascii="Traditional Arabic" w:hAnsi="Traditional Arabic"/>
          <w:sz w:val="28"/>
          <w:szCs w:val="28"/>
          <w:rtl/>
        </w:rPr>
        <w:t xml:space="preserve"> </w:t>
      </w:r>
      <w:r w:rsidRPr="0036673C">
        <w:rPr>
          <w:rFonts w:ascii="Traditional Arabic" w:hAnsi="Traditional Arabic"/>
          <w:sz w:val="20"/>
          <w:szCs w:val="20"/>
          <w:rtl/>
        </w:rPr>
        <w:t>[آل عمران: 105]</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{فَمَا اخْتَلَفُوا حَتَّى جَاءَهُمُ الْعِلْمُ}</w:t>
      </w:r>
      <w:r w:rsidRPr="0036673C">
        <w:rPr>
          <w:rFonts w:ascii="Traditional Arabic" w:hAnsi="Traditional Arabic"/>
          <w:sz w:val="28"/>
          <w:szCs w:val="28"/>
          <w:rtl/>
        </w:rPr>
        <w:t xml:space="preserve"> </w:t>
      </w:r>
      <w:r w:rsidRPr="0036673C">
        <w:rPr>
          <w:rFonts w:ascii="Traditional Arabic" w:hAnsi="Traditional Arabic"/>
          <w:sz w:val="20"/>
          <w:szCs w:val="20"/>
          <w:rtl/>
        </w:rPr>
        <w:t>[يونس: 93]</w:t>
      </w:r>
      <w:r w:rsidRPr="0036673C">
        <w:rPr>
          <w:rFonts w:ascii="Traditional Arabic" w:hAnsi="Traditional Arabic"/>
          <w:sz w:val="28"/>
          <w:szCs w:val="28"/>
          <w:rtl/>
        </w:rPr>
        <w:t>،  وبقوله:</w:t>
      </w:r>
      <w:r>
        <w:rPr>
          <w:rFonts w:ascii="Traditional Arabic" w:hAnsi="Traditional Arabic" w:hint="cs"/>
          <w:sz w:val="28"/>
          <w:szCs w:val="28"/>
          <w:rtl/>
        </w:rPr>
        <w:t xml:space="preserve"> </w:t>
      </w:r>
      <w:r w:rsidRPr="00434F53">
        <w:rPr>
          <w:rFonts w:ascii="Traditional Arabic" w:hAnsi="Traditional Arabic"/>
          <w:color w:val="FF0000"/>
          <w:sz w:val="28"/>
          <w:szCs w:val="28"/>
          <w:rtl/>
        </w:rPr>
        <w:t>{وَإِنَّ الَّذِينَ اخْتَلَفُوا فِي الْكِتَابِ لَفِي شِقَاقٍ بَعِيدٍ}</w:t>
      </w:r>
      <w:r w:rsidRPr="0036673C">
        <w:rPr>
          <w:rFonts w:ascii="Traditional Arabic" w:hAnsi="Traditional Arabic"/>
          <w:sz w:val="28"/>
          <w:szCs w:val="28"/>
          <w:rtl/>
        </w:rPr>
        <w:t xml:space="preserve"> </w:t>
      </w:r>
      <w:r w:rsidRPr="0036673C">
        <w:rPr>
          <w:rFonts w:ascii="Traditional Arabic" w:hAnsi="Traditional Arabic"/>
          <w:sz w:val="20"/>
          <w:szCs w:val="20"/>
          <w:rtl/>
        </w:rPr>
        <w:t>[البقرة: 176]</w:t>
      </w:r>
      <w:r w:rsidRPr="0036673C">
        <w:rPr>
          <w:rFonts w:ascii="Traditional Arabic" w:hAnsi="Traditional Arabic"/>
          <w:sz w:val="28"/>
          <w:szCs w:val="28"/>
          <w:rtl/>
        </w:rPr>
        <w:t xml:space="preserve"> وغيرها من الآيات.</w:t>
      </w:r>
    </w:p>
    <w:p w14:paraId="529FCC1E" w14:textId="50B577D9" w:rsidR="00DB33AD" w:rsidRDefault="00A11386" w:rsidP="00A11386">
      <w:r w:rsidRPr="0036673C">
        <w:rPr>
          <w:rFonts w:ascii="Traditional Arabic" w:hAnsi="Traditional Arabic"/>
          <w:sz w:val="28"/>
          <w:szCs w:val="28"/>
          <w:rtl/>
        </w:rPr>
        <w:t>وهو الخلاف الذي ليس سببه خفاء الدليل، أو تنوع الفهم، بل سببه البغي والعدوان مع وضوح الحق وبيان الجادة، فهذا هو المذموم المؤدي إلى الفشل والضعف والجبن، وذهاب الريح والقوة، وتسلط الأعداء.</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22"/>
    <w:rsid w:val="00434F53"/>
    <w:rsid w:val="00530D34"/>
    <w:rsid w:val="00651322"/>
    <w:rsid w:val="006E515B"/>
    <w:rsid w:val="008B2D3B"/>
    <w:rsid w:val="00952B49"/>
    <w:rsid w:val="0095429D"/>
    <w:rsid w:val="00A11386"/>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08F2"/>
  <w15:chartTrackingRefBased/>
  <w15:docId w15:val="{E6BDA64C-CDF5-40BC-8220-9F3D6F0C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386"/>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7</cp:revision>
  <dcterms:created xsi:type="dcterms:W3CDTF">2021-07-21T19:56:00Z</dcterms:created>
  <dcterms:modified xsi:type="dcterms:W3CDTF">2021-07-23T10:24:00Z</dcterms:modified>
</cp:coreProperties>
</file>