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DF9C9" w14:textId="77777777" w:rsidR="006E54DB" w:rsidRDefault="006E54DB" w:rsidP="00662FE5">
      <w:pPr>
        <w:framePr w:hSpace="180" w:wrap="around" w:vAnchor="text" w:hAnchor="page" w:x="4282" w:y="267"/>
        <w:spacing w:line="240" w:lineRule="atLeast"/>
        <w:suppressOverlap/>
        <w:jc w:val="center"/>
        <w:rPr>
          <w:rFonts w:ascii="Traditional Arabic" w:hAnsi="Traditional Arabic"/>
          <w:b/>
          <w:bCs/>
          <w:sz w:val="28"/>
          <w:szCs w:val="28"/>
          <w:rtl/>
        </w:rPr>
      </w:pPr>
      <w:r>
        <w:rPr>
          <w:rFonts w:ascii="Traditional Arabic" w:hAnsi="Traditional Arabic"/>
          <w:b/>
          <w:bCs/>
          <w:sz w:val="28"/>
          <w:szCs w:val="28"/>
          <w:rtl/>
        </w:rPr>
        <w:t>[</w:t>
      </w:r>
      <w:r>
        <w:rPr>
          <w:rFonts w:ascii="Traditional Arabic" w:hAnsi="Traditional Arabic" w:hint="cs"/>
          <w:b/>
          <w:bCs/>
          <w:sz w:val="28"/>
          <w:szCs w:val="28"/>
          <w:rtl/>
        </w:rPr>
        <w:t>ذكر بعض المواضع التي يُلغَى فيها مفهوم العدد</w:t>
      </w:r>
      <w:r>
        <w:rPr>
          <w:rFonts w:ascii="Traditional Arabic" w:hAnsi="Traditional Arabic"/>
          <w:b/>
          <w:bCs/>
          <w:sz w:val="28"/>
          <w:szCs w:val="28"/>
          <w:rtl/>
        </w:rPr>
        <w:t>]</w:t>
      </w:r>
    </w:p>
    <w:p w14:paraId="14DDA574" w14:textId="77777777" w:rsidR="00662FE5" w:rsidRDefault="00662FE5" w:rsidP="00662FE5">
      <w:pPr>
        <w:spacing w:line="240" w:lineRule="atLeast"/>
        <w:jc w:val="both"/>
        <w:rPr>
          <w:rFonts w:ascii="Traditional Arabic" w:hAnsi="Traditional Arabic"/>
          <w:sz w:val="28"/>
          <w:szCs w:val="28"/>
          <w:rtl/>
        </w:rPr>
      </w:pPr>
    </w:p>
    <w:p w14:paraId="0F380858" w14:textId="77777777" w:rsidR="00662FE5" w:rsidRDefault="00662FE5" w:rsidP="00662FE5">
      <w:pPr>
        <w:spacing w:line="240" w:lineRule="atLeast"/>
        <w:jc w:val="both"/>
        <w:rPr>
          <w:rFonts w:ascii="Traditional Arabic" w:hAnsi="Traditional Arabic"/>
          <w:sz w:val="28"/>
          <w:szCs w:val="28"/>
          <w:rtl/>
        </w:rPr>
      </w:pPr>
    </w:p>
    <w:p w14:paraId="5B68614E" w14:textId="16211BE6" w:rsidR="00662FE5" w:rsidRPr="00A972A1" w:rsidRDefault="00662FE5" w:rsidP="00662FE5">
      <w:pPr>
        <w:spacing w:line="240" w:lineRule="atLeast"/>
        <w:jc w:val="both"/>
        <w:rPr>
          <w:rFonts w:ascii="Traditional Arabic" w:hAnsi="Traditional Arabic"/>
          <w:sz w:val="28"/>
          <w:szCs w:val="28"/>
          <w:rtl/>
        </w:rPr>
      </w:pPr>
      <w:r w:rsidRPr="00A972A1">
        <w:rPr>
          <w:rFonts w:ascii="Traditional Arabic" w:hAnsi="Traditional Arabic"/>
          <w:sz w:val="28"/>
          <w:szCs w:val="28"/>
          <w:rtl/>
        </w:rPr>
        <w:t>بعض</w:t>
      </w:r>
      <w:r w:rsidRPr="00A972A1">
        <w:rPr>
          <w:rFonts w:ascii="Traditional Arabic" w:hAnsi="Traditional Arabic" w:hint="cs"/>
          <w:sz w:val="28"/>
          <w:szCs w:val="28"/>
          <w:rtl/>
        </w:rPr>
        <w:t xml:space="preserve"> الآيات</w:t>
      </w:r>
      <w:r w:rsidRPr="00A972A1">
        <w:rPr>
          <w:rFonts w:ascii="Traditional Arabic" w:hAnsi="Traditional Arabic"/>
          <w:sz w:val="28"/>
          <w:szCs w:val="28"/>
          <w:rtl/>
        </w:rPr>
        <w:t xml:space="preserve"> </w:t>
      </w:r>
      <w:r w:rsidRPr="00A972A1">
        <w:rPr>
          <w:rFonts w:ascii="Traditional Arabic" w:hAnsi="Traditional Arabic" w:hint="cs"/>
          <w:sz w:val="28"/>
          <w:szCs w:val="28"/>
          <w:rtl/>
        </w:rPr>
        <w:t>و</w:t>
      </w:r>
      <w:r w:rsidRPr="00A972A1">
        <w:rPr>
          <w:rFonts w:ascii="Traditional Arabic" w:hAnsi="Traditional Arabic"/>
          <w:sz w:val="28"/>
          <w:szCs w:val="28"/>
          <w:rtl/>
        </w:rPr>
        <w:t xml:space="preserve">الأحاديث </w:t>
      </w:r>
      <w:r w:rsidRPr="00A972A1">
        <w:rPr>
          <w:rFonts w:ascii="Traditional Arabic" w:hAnsi="Traditional Arabic" w:hint="cs"/>
          <w:sz w:val="28"/>
          <w:szCs w:val="28"/>
          <w:rtl/>
        </w:rPr>
        <w:t>إذا ذكر فيها عدد معيَّن</w:t>
      </w:r>
      <w:r w:rsidRPr="00A972A1">
        <w:rPr>
          <w:rFonts w:ascii="Traditional Arabic" w:hAnsi="Traditional Arabic"/>
          <w:sz w:val="28"/>
          <w:szCs w:val="28"/>
          <w:rtl/>
        </w:rPr>
        <w:t xml:space="preserve"> </w:t>
      </w:r>
      <w:r w:rsidRPr="00A972A1">
        <w:rPr>
          <w:rFonts w:ascii="Traditional Arabic" w:hAnsi="Traditional Arabic" w:hint="cs"/>
          <w:sz w:val="28"/>
          <w:szCs w:val="28"/>
          <w:rtl/>
        </w:rPr>
        <w:t xml:space="preserve">توجَّه بأن هذا </w:t>
      </w:r>
      <w:r w:rsidRPr="00A972A1">
        <w:rPr>
          <w:rFonts w:ascii="Traditional Arabic" w:hAnsi="Traditional Arabic"/>
          <w:sz w:val="28"/>
          <w:szCs w:val="28"/>
          <w:rtl/>
        </w:rPr>
        <w:t xml:space="preserve">العدد لا مفهوم له </w:t>
      </w:r>
      <w:r w:rsidRPr="00A972A1">
        <w:rPr>
          <w:rFonts w:ascii="Traditional Arabic" w:hAnsi="Traditional Arabic" w:hint="cs"/>
          <w:sz w:val="28"/>
          <w:szCs w:val="28"/>
          <w:rtl/>
        </w:rPr>
        <w:t>-وإن كان</w:t>
      </w:r>
      <w:r w:rsidRPr="00A972A1">
        <w:rPr>
          <w:rFonts w:ascii="Traditional Arabic" w:hAnsi="Traditional Arabic"/>
          <w:sz w:val="28"/>
          <w:szCs w:val="28"/>
          <w:rtl/>
        </w:rPr>
        <w:t xml:space="preserve"> </w:t>
      </w:r>
      <w:r w:rsidRPr="00A972A1">
        <w:rPr>
          <w:rFonts w:ascii="Traditional Arabic" w:hAnsi="Traditional Arabic" w:hint="cs"/>
          <w:sz w:val="28"/>
          <w:szCs w:val="28"/>
          <w:rtl/>
        </w:rPr>
        <w:t>هذا</w:t>
      </w:r>
      <w:r w:rsidRPr="00A972A1">
        <w:rPr>
          <w:rFonts w:ascii="Traditional Arabic" w:hAnsi="Traditional Arabic"/>
          <w:sz w:val="28"/>
          <w:szCs w:val="28"/>
          <w:rtl/>
        </w:rPr>
        <w:t xml:space="preserve"> ليس</w:t>
      </w:r>
      <w:r w:rsidRPr="00A972A1">
        <w:rPr>
          <w:rFonts w:ascii="Traditional Arabic" w:hAnsi="Traditional Arabic" w:hint="cs"/>
          <w:sz w:val="28"/>
          <w:szCs w:val="28"/>
          <w:rtl/>
        </w:rPr>
        <w:t xml:space="preserve"> </w:t>
      </w:r>
      <w:r w:rsidRPr="00A972A1">
        <w:rPr>
          <w:rFonts w:ascii="Traditional Arabic" w:hAnsi="Traditional Arabic"/>
          <w:sz w:val="28"/>
          <w:szCs w:val="28"/>
          <w:rtl/>
        </w:rPr>
        <w:t>على إطلاقه</w:t>
      </w:r>
      <w:r w:rsidRPr="00A972A1">
        <w:rPr>
          <w:rFonts w:ascii="Traditional Arabic" w:hAnsi="Traditional Arabic" w:hint="cs"/>
          <w:sz w:val="28"/>
          <w:szCs w:val="28"/>
          <w:rtl/>
        </w:rPr>
        <w:t>-</w:t>
      </w:r>
      <w:r w:rsidRPr="00A972A1">
        <w:rPr>
          <w:rFonts w:ascii="Traditional Arabic" w:hAnsi="Traditional Arabic"/>
          <w:sz w:val="28"/>
          <w:szCs w:val="28"/>
          <w:rtl/>
        </w:rPr>
        <w:t>، فلو جاءنا من يقول: إنه يستغفر للمشرك واحدًا وسبعين مرة؛ لأن</w:t>
      </w:r>
      <w:r w:rsidRPr="00A972A1">
        <w:rPr>
          <w:rFonts w:ascii="Traditional Arabic" w:hAnsi="Traditional Arabic" w:hint="cs"/>
          <w:sz w:val="28"/>
          <w:szCs w:val="28"/>
          <w:rtl/>
        </w:rPr>
        <w:t xml:space="preserve">ه المفهوم من قول </w:t>
      </w:r>
      <w:r w:rsidRPr="00A972A1">
        <w:rPr>
          <w:rFonts w:ascii="Traditional Arabic" w:hAnsi="Traditional Arabic"/>
          <w:sz w:val="28"/>
          <w:szCs w:val="28"/>
          <w:rtl/>
        </w:rPr>
        <w:t xml:space="preserve"> الله </w:t>
      </w:r>
      <w:r w:rsidRPr="00A972A1">
        <w:rPr>
          <w:rFonts w:ascii="Traditional Arabic" w:hAnsi="Traditional Arabic" w:hint="cs"/>
          <w:sz w:val="28"/>
          <w:szCs w:val="28"/>
          <w:rtl/>
        </w:rPr>
        <w:t>جل جلاله</w:t>
      </w:r>
      <w:r w:rsidRPr="00A972A1">
        <w:rPr>
          <w:rFonts w:ascii="Traditional Arabic" w:hAnsi="Traditional Arabic"/>
          <w:sz w:val="28"/>
          <w:szCs w:val="28"/>
          <w:rtl/>
        </w:rPr>
        <w:t xml:space="preserve">: </w:t>
      </w:r>
      <w:r w:rsidRPr="00AE2249">
        <w:rPr>
          <w:color w:val="FF0000"/>
          <w:szCs w:val="28"/>
          <w:rtl/>
        </w:rPr>
        <w:t>{اسْتَغْفِرْ لَهُمْ أَوْ لاَ تَسْتَغْفِرْ لَهُمْ إِن تَسْتَغْفِرْ لَهُمْ سَبْعِينَ مَرَّةً فَلَن يَغْفِرَ اللهُ لَهُمْ}</w:t>
      </w:r>
      <w:r w:rsidRPr="00A972A1">
        <w:rPr>
          <w:rFonts w:ascii="Traditional Arabic" w:hAnsi="Traditional Arabic"/>
          <w:sz w:val="28"/>
          <w:szCs w:val="28"/>
          <w:rtl/>
        </w:rPr>
        <w:t xml:space="preserve"> </w:t>
      </w:r>
      <w:r w:rsidRPr="00A972A1">
        <w:rPr>
          <w:rFonts w:ascii="Traditional Arabic" w:hAnsi="Traditional Arabic"/>
          <w:sz w:val="20"/>
          <w:szCs w:val="20"/>
          <w:rtl/>
        </w:rPr>
        <w:t>[التوبة: 80]</w:t>
      </w:r>
      <w:r w:rsidRPr="00A972A1">
        <w:rPr>
          <w:rFonts w:ascii="Traditional Arabic" w:hAnsi="Traditional Arabic"/>
          <w:sz w:val="28"/>
          <w:szCs w:val="28"/>
          <w:rtl/>
        </w:rPr>
        <w:t xml:space="preserve"> </w:t>
      </w:r>
      <w:r w:rsidRPr="00A972A1">
        <w:rPr>
          <w:rFonts w:ascii="Traditional Arabic" w:hAnsi="Traditional Arabic" w:hint="cs"/>
          <w:sz w:val="28"/>
          <w:szCs w:val="28"/>
          <w:rtl/>
        </w:rPr>
        <w:t>فيقال له</w:t>
      </w:r>
      <w:r w:rsidRPr="00A972A1">
        <w:rPr>
          <w:rFonts w:ascii="Traditional Arabic" w:hAnsi="Traditional Arabic"/>
          <w:sz w:val="28"/>
          <w:szCs w:val="28"/>
          <w:rtl/>
        </w:rPr>
        <w:t xml:space="preserve">: العدد </w:t>
      </w:r>
      <w:r w:rsidRPr="00A972A1">
        <w:rPr>
          <w:rFonts w:ascii="Traditional Arabic" w:hAnsi="Traditional Arabic" w:hint="cs"/>
          <w:sz w:val="28"/>
          <w:szCs w:val="28"/>
          <w:rtl/>
        </w:rPr>
        <w:t xml:space="preserve">هنا </w:t>
      </w:r>
      <w:r w:rsidRPr="00A972A1">
        <w:rPr>
          <w:rFonts w:ascii="Traditional Arabic" w:hAnsi="Traditional Arabic"/>
          <w:sz w:val="28"/>
          <w:szCs w:val="28"/>
          <w:rtl/>
        </w:rPr>
        <w:t>لا مفهوم له</w:t>
      </w:r>
      <w:r w:rsidRPr="00A972A1">
        <w:rPr>
          <w:rFonts w:ascii="Traditional Arabic" w:hAnsi="Traditional Arabic" w:hint="cs"/>
          <w:sz w:val="28"/>
          <w:szCs w:val="28"/>
          <w:rtl/>
        </w:rPr>
        <w:t xml:space="preserve">؛ لأن مفهوم العدد وغيره من المفاهيم تُلغى </w:t>
      </w:r>
      <w:r w:rsidRPr="00A972A1">
        <w:rPr>
          <w:rFonts w:ascii="Traditional Arabic" w:hAnsi="Traditional Arabic"/>
          <w:sz w:val="28"/>
          <w:szCs w:val="28"/>
          <w:rtl/>
        </w:rPr>
        <w:t xml:space="preserve">إذا عورضت بمنطوقات أقوى منها، </w:t>
      </w:r>
      <w:r w:rsidRPr="00A972A1">
        <w:rPr>
          <w:rFonts w:ascii="Traditional Arabic" w:hAnsi="Traditional Arabic" w:hint="cs"/>
          <w:sz w:val="28"/>
          <w:szCs w:val="28"/>
          <w:rtl/>
        </w:rPr>
        <w:t>فمفهوم الاستغفار للكافر أكثر من سبعين مرة</w:t>
      </w:r>
      <w:r w:rsidRPr="00A972A1">
        <w:rPr>
          <w:rFonts w:ascii="Traditional Arabic" w:hAnsi="Traditional Arabic"/>
          <w:sz w:val="28"/>
          <w:szCs w:val="28"/>
          <w:rtl/>
        </w:rPr>
        <w:t xml:space="preserve"> معارَض بنص منطوق؛ لأنه الاستغفار طلب المغفرة، والله </w:t>
      </w:r>
      <w:r w:rsidRPr="00A972A1">
        <w:rPr>
          <w:rFonts w:ascii="Traditional Arabic" w:hAnsi="Traditional Arabic" w:hint="cs"/>
          <w:sz w:val="28"/>
          <w:szCs w:val="28"/>
          <w:rtl/>
        </w:rPr>
        <w:t>جل جلاله</w:t>
      </w:r>
      <w:r w:rsidRPr="00A972A1">
        <w:rPr>
          <w:rFonts w:ascii="Traditional Arabic" w:hAnsi="Traditional Arabic"/>
          <w:sz w:val="28"/>
          <w:szCs w:val="28"/>
          <w:rtl/>
        </w:rPr>
        <w:t xml:space="preserve"> </w:t>
      </w:r>
      <w:r w:rsidRPr="00A972A1">
        <w:rPr>
          <w:rFonts w:ascii="Traditional Arabic" w:hAnsi="Traditional Arabic" w:hint="cs"/>
          <w:sz w:val="28"/>
          <w:szCs w:val="28"/>
          <w:rtl/>
        </w:rPr>
        <w:t xml:space="preserve">يقول: </w:t>
      </w:r>
      <w:r w:rsidRPr="00AE2249">
        <w:rPr>
          <w:rFonts w:ascii="Traditional Arabic" w:hAnsi="Traditional Arabic" w:hint="cs"/>
          <w:color w:val="FF0000"/>
          <w:sz w:val="28"/>
          <w:szCs w:val="28"/>
          <w:rtl/>
        </w:rPr>
        <w:t>{</w:t>
      </w:r>
      <w:r w:rsidRPr="00AE2249">
        <w:rPr>
          <w:rFonts w:ascii="Traditional Arabic" w:hAnsi="Traditional Arabic"/>
          <w:color w:val="FF0000"/>
          <w:sz w:val="28"/>
          <w:szCs w:val="28"/>
          <w:rtl/>
        </w:rPr>
        <w:t>إِنَّ اللَّهَ لَا يَغْفِرُ أَن يُشْرَكَ بِهِ</w:t>
      </w:r>
      <w:r w:rsidRPr="00AE2249">
        <w:rPr>
          <w:rFonts w:ascii="Traditional Arabic" w:hAnsi="Traditional Arabic" w:hint="cs"/>
          <w:color w:val="FF0000"/>
          <w:sz w:val="28"/>
          <w:szCs w:val="28"/>
          <w:rtl/>
        </w:rPr>
        <w:t>}</w:t>
      </w:r>
      <w:r>
        <w:rPr>
          <w:rFonts w:ascii="Traditional Arabic" w:hAnsi="Traditional Arabic" w:hint="cs"/>
          <w:sz w:val="28"/>
          <w:szCs w:val="28"/>
          <w:rtl/>
        </w:rPr>
        <w:t xml:space="preserve"> </w:t>
      </w:r>
      <w:r w:rsidRPr="006C2FB3">
        <w:rPr>
          <w:rFonts w:ascii="Traditional Arabic" w:hAnsi="Traditional Arabic" w:hint="cs"/>
          <w:sz w:val="20"/>
          <w:szCs w:val="20"/>
          <w:rtl/>
        </w:rPr>
        <w:t>[النساء: 48]</w:t>
      </w:r>
      <w:r w:rsidRPr="00A972A1">
        <w:rPr>
          <w:rFonts w:ascii="Traditional Arabic" w:hAnsi="Traditional Arabic"/>
          <w:sz w:val="28"/>
          <w:szCs w:val="28"/>
          <w:rtl/>
        </w:rPr>
        <w:t xml:space="preserve">، </w:t>
      </w:r>
      <w:r w:rsidRPr="00A972A1">
        <w:rPr>
          <w:rFonts w:ascii="Traditional Arabic" w:hAnsi="Traditional Arabic" w:hint="cs"/>
          <w:sz w:val="28"/>
          <w:szCs w:val="28"/>
          <w:rtl/>
        </w:rPr>
        <w:t>أي:</w:t>
      </w:r>
      <w:r w:rsidRPr="00A972A1">
        <w:rPr>
          <w:rFonts w:ascii="Traditional Arabic" w:hAnsi="Traditional Arabic"/>
          <w:sz w:val="28"/>
          <w:szCs w:val="28"/>
          <w:rtl/>
        </w:rPr>
        <w:t xml:space="preserve"> ولو استُغفر له ملايين المرات؛ </w:t>
      </w:r>
      <w:r w:rsidRPr="00A972A1">
        <w:rPr>
          <w:rFonts w:ascii="Traditional Arabic" w:hAnsi="Traditional Arabic" w:hint="cs"/>
          <w:sz w:val="28"/>
          <w:szCs w:val="28"/>
          <w:rtl/>
        </w:rPr>
        <w:t>فبطلت دلالة مفهوم العدد.</w:t>
      </w:r>
    </w:p>
    <w:p w14:paraId="4E69E49F" w14:textId="77777777" w:rsidR="00662FE5" w:rsidRPr="00A972A1" w:rsidRDefault="00662FE5" w:rsidP="00662FE5">
      <w:pPr>
        <w:spacing w:line="240" w:lineRule="atLeast"/>
        <w:jc w:val="both"/>
        <w:rPr>
          <w:rFonts w:ascii="Traditional Arabic" w:hAnsi="Traditional Arabic"/>
          <w:sz w:val="28"/>
          <w:szCs w:val="28"/>
          <w:rtl/>
        </w:rPr>
      </w:pPr>
      <w:r w:rsidRPr="00A972A1">
        <w:rPr>
          <w:rFonts w:ascii="Traditional Arabic" w:hAnsi="Traditional Arabic" w:hint="cs"/>
          <w:sz w:val="28"/>
          <w:szCs w:val="28"/>
          <w:rtl/>
        </w:rPr>
        <w:t xml:space="preserve">ومن هذا الباب أيضًا </w:t>
      </w:r>
      <w:r w:rsidRPr="00A972A1">
        <w:rPr>
          <w:rFonts w:ascii="Traditional Arabic" w:hAnsi="Traditional Arabic"/>
          <w:sz w:val="28"/>
          <w:szCs w:val="28"/>
          <w:rtl/>
        </w:rPr>
        <w:t xml:space="preserve">حديث: </w:t>
      </w:r>
      <w:r w:rsidRPr="00AE2249">
        <w:rPr>
          <w:rFonts w:ascii="Traditional Arabic" w:hAnsi="Traditional Arabic"/>
          <w:color w:val="0000FF"/>
          <w:sz w:val="28"/>
          <w:szCs w:val="28"/>
          <w:rtl/>
        </w:rPr>
        <w:t>«إذا كان الماء قلتين لم يحمل الخبث»</w:t>
      </w:r>
      <w:r w:rsidRPr="00A972A1">
        <w:rPr>
          <w:rFonts w:ascii="Traditional Arabic" w:hAnsi="Traditional Arabic"/>
          <w:sz w:val="28"/>
          <w:szCs w:val="28"/>
          <w:rtl/>
        </w:rPr>
        <w:t xml:space="preserve"> </w:t>
      </w:r>
      <w:r w:rsidRPr="00A972A1">
        <w:rPr>
          <w:rFonts w:ascii="Traditional Arabic" w:hAnsi="Traditional Arabic" w:hint="cs"/>
          <w:sz w:val="20"/>
          <w:szCs w:val="20"/>
          <w:rtl/>
        </w:rPr>
        <w:t>[</w:t>
      </w:r>
      <w:r w:rsidRPr="00A972A1">
        <w:rPr>
          <w:rFonts w:ascii="Traditional Arabic" w:hAnsi="Traditional Arabic"/>
          <w:sz w:val="20"/>
          <w:szCs w:val="20"/>
          <w:rtl/>
        </w:rPr>
        <w:t>أبو داود (63)، والترمذي (68)، والنسائي (52)، وابن ماجه (517)</w:t>
      </w:r>
      <w:r w:rsidRPr="00A972A1">
        <w:rPr>
          <w:rFonts w:ascii="Traditional Arabic" w:hAnsi="Traditional Arabic" w:hint="cs"/>
          <w:sz w:val="20"/>
          <w:szCs w:val="20"/>
          <w:rtl/>
        </w:rPr>
        <w:t>]</w:t>
      </w:r>
      <w:r w:rsidRPr="00A972A1">
        <w:rPr>
          <w:rFonts w:ascii="Traditional Arabic" w:hAnsi="Traditional Arabic"/>
          <w:sz w:val="28"/>
          <w:szCs w:val="28"/>
          <w:rtl/>
        </w:rPr>
        <w:t xml:space="preserve"> بمعنى: أنه يدفع الخبث عن نفسه، </w:t>
      </w:r>
      <w:r w:rsidRPr="00A972A1">
        <w:rPr>
          <w:rFonts w:ascii="Traditional Arabic" w:hAnsi="Traditional Arabic" w:hint="cs"/>
          <w:sz w:val="28"/>
          <w:szCs w:val="28"/>
          <w:rtl/>
        </w:rPr>
        <w:t>و</w:t>
      </w:r>
      <w:r w:rsidRPr="00A972A1">
        <w:rPr>
          <w:rFonts w:ascii="Traditional Arabic" w:hAnsi="Traditional Arabic"/>
          <w:sz w:val="28"/>
          <w:szCs w:val="28"/>
          <w:rtl/>
        </w:rPr>
        <w:t xml:space="preserve">مفهوم الموافقة: إذا بلغ ثلاث قلال أو أربع قلال، فإنه لا يحمل الخبث، بمعنى أنه يدفعه من باب أولى، </w:t>
      </w:r>
      <w:r w:rsidRPr="00A972A1">
        <w:rPr>
          <w:rFonts w:ascii="Traditional Arabic" w:hAnsi="Traditional Arabic" w:hint="cs"/>
          <w:sz w:val="28"/>
          <w:szCs w:val="28"/>
          <w:rtl/>
        </w:rPr>
        <w:t>و</w:t>
      </w:r>
      <w:r w:rsidRPr="00A972A1">
        <w:rPr>
          <w:rFonts w:ascii="Traditional Arabic" w:hAnsi="Traditional Arabic"/>
          <w:sz w:val="28"/>
          <w:szCs w:val="28"/>
          <w:rtl/>
        </w:rPr>
        <w:t>مفهوم المخالفة: إذا كان قلة واحدة أو دون القلتين فإنه يعجز عن حمل الخبث، فيتنجس، لكن هذا المفهوم معارض بمنطوق</w:t>
      </w:r>
      <w:r w:rsidRPr="00A972A1">
        <w:rPr>
          <w:rFonts w:ascii="Traditional Arabic" w:hAnsi="Traditional Arabic" w:hint="cs"/>
          <w:sz w:val="28"/>
          <w:szCs w:val="28"/>
          <w:rtl/>
        </w:rPr>
        <w:t xml:space="preserve"> حديث</w:t>
      </w:r>
      <w:r w:rsidRPr="00A972A1">
        <w:rPr>
          <w:rFonts w:ascii="Traditional Arabic" w:hAnsi="Traditional Arabic"/>
          <w:sz w:val="28"/>
          <w:szCs w:val="28"/>
          <w:rtl/>
        </w:rPr>
        <w:t xml:space="preserve">: </w:t>
      </w:r>
      <w:r w:rsidRPr="00AE2249">
        <w:rPr>
          <w:rFonts w:ascii="Traditional Arabic" w:hAnsi="Traditional Arabic"/>
          <w:color w:val="0000FF"/>
          <w:sz w:val="28"/>
          <w:szCs w:val="28"/>
          <w:rtl/>
        </w:rPr>
        <w:t>«الماء طهور لا ينجسه شيء»</w:t>
      </w:r>
      <w:r w:rsidRPr="00A972A1">
        <w:rPr>
          <w:rFonts w:ascii="Traditional Arabic" w:hAnsi="Traditional Arabic" w:hint="cs"/>
          <w:sz w:val="28"/>
          <w:szCs w:val="28"/>
          <w:rtl/>
        </w:rPr>
        <w:t xml:space="preserve"> </w:t>
      </w:r>
      <w:r w:rsidRPr="00A972A1">
        <w:rPr>
          <w:rFonts w:ascii="Traditional Arabic" w:hAnsi="Traditional Arabic" w:hint="cs"/>
          <w:sz w:val="20"/>
          <w:szCs w:val="20"/>
          <w:rtl/>
        </w:rPr>
        <w:t>[</w:t>
      </w:r>
      <w:r w:rsidRPr="00A972A1">
        <w:rPr>
          <w:rFonts w:ascii="Traditional Arabic" w:hAnsi="Traditional Arabic"/>
          <w:sz w:val="20"/>
          <w:szCs w:val="20"/>
          <w:rtl/>
        </w:rPr>
        <w:t>أبو داود (66)، والترمذي (66)، والنسائي (326)</w:t>
      </w:r>
      <w:r w:rsidRPr="00A972A1">
        <w:rPr>
          <w:rFonts w:ascii="Traditional Arabic" w:hAnsi="Traditional Arabic" w:hint="cs"/>
          <w:sz w:val="20"/>
          <w:szCs w:val="20"/>
          <w:rtl/>
        </w:rPr>
        <w:t>]</w:t>
      </w:r>
      <w:r w:rsidRPr="00A972A1">
        <w:rPr>
          <w:rFonts w:ascii="Traditional Arabic" w:hAnsi="Traditional Arabic"/>
          <w:sz w:val="28"/>
          <w:szCs w:val="28"/>
          <w:rtl/>
        </w:rPr>
        <w:t xml:space="preserve"> مع الاستثناء: </w:t>
      </w:r>
      <w:r w:rsidRPr="00AE2249">
        <w:rPr>
          <w:rFonts w:ascii="Traditional Arabic" w:hAnsi="Traditional Arabic"/>
          <w:color w:val="0000FF"/>
          <w:sz w:val="28"/>
          <w:szCs w:val="28"/>
          <w:rtl/>
        </w:rPr>
        <w:t>«إلا ما غلب على ريحه وطعمه ولونه»</w:t>
      </w:r>
      <w:r w:rsidRPr="00A972A1">
        <w:rPr>
          <w:rFonts w:ascii="Traditional Arabic" w:hAnsi="Traditional Arabic" w:hint="cs"/>
          <w:sz w:val="28"/>
          <w:szCs w:val="28"/>
          <w:rtl/>
        </w:rPr>
        <w:t xml:space="preserve"> </w:t>
      </w:r>
      <w:r w:rsidRPr="00A972A1">
        <w:rPr>
          <w:rFonts w:ascii="Traditional Arabic" w:hAnsi="Traditional Arabic" w:hint="cs"/>
          <w:sz w:val="20"/>
          <w:szCs w:val="20"/>
          <w:rtl/>
        </w:rPr>
        <w:t>[</w:t>
      </w:r>
      <w:r w:rsidRPr="00A972A1">
        <w:rPr>
          <w:rFonts w:ascii="Traditional Arabic" w:hAnsi="Traditional Arabic"/>
          <w:sz w:val="20"/>
          <w:szCs w:val="20"/>
          <w:rtl/>
        </w:rPr>
        <w:t xml:space="preserve">ابن ماجه (521)، والدارقطني </w:t>
      </w:r>
      <w:r w:rsidRPr="00A972A1">
        <w:rPr>
          <w:rFonts w:ascii="Traditional Arabic" w:hAnsi="Traditional Arabic" w:hint="cs"/>
          <w:sz w:val="20"/>
          <w:szCs w:val="20"/>
          <w:rtl/>
        </w:rPr>
        <w:t>(</w:t>
      </w:r>
      <w:r w:rsidRPr="00A972A1">
        <w:rPr>
          <w:rFonts w:ascii="Traditional Arabic" w:hAnsi="Traditional Arabic"/>
          <w:sz w:val="20"/>
          <w:szCs w:val="20"/>
          <w:rtl/>
        </w:rPr>
        <w:t>46، 47</w:t>
      </w:r>
      <w:r w:rsidRPr="00A972A1">
        <w:rPr>
          <w:rFonts w:ascii="Traditional Arabic" w:hAnsi="Traditional Arabic" w:hint="cs"/>
          <w:sz w:val="20"/>
          <w:szCs w:val="20"/>
          <w:rtl/>
        </w:rPr>
        <w:t>)</w:t>
      </w:r>
      <w:r w:rsidRPr="00A972A1">
        <w:rPr>
          <w:rFonts w:ascii="Traditional Arabic" w:hAnsi="Traditional Arabic"/>
          <w:sz w:val="20"/>
          <w:szCs w:val="20"/>
          <w:rtl/>
        </w:rPr>
        <w:t>، والطبراني في الكبير (7503)</w:t>
      </w:r>
      <w:r w:rsidRPr="00A972A1">
        <w:rPr>
          <w:rFonts w:ascii="Traditional Arabic" w:hAnsi="Traditional Arabic" w:hint="cs"/>
          <w:sz w:val="20"/>
          <w:szCs w:val="20"/>
          <w:rtl/>
        </w:rPr>
        <w:t>]</w:t>
      </w:r>
      <w:r w:rsidRPr="00A972A1">
        <w:rPr>
          <w:rFonts w:ascii="Traditional Arabic" w:hAnsi="Traditional Arabic"/>
          <w:sz w:val="28"/>
          <w:szCs w:val="28"/>
          <w:rtl/>
        </w:rPr>
        <w:t>، مع ما قيل فيه من ضعف، لكن الحكم متفق عليه.</w:t>
      </w:r>
    </w:p>
    <w:p w14:paraId="4F748832" w14:textId="77777777" w:rsidR="00662FE5" w:rsidRPr="00A972A1" w:rsidRDefault="00662FE5" w:rsidP="00662FE5">
      <w:pPr>
        <w:spacing w:line="240" w:lineRule="atLeast"/>
        <w:jc w:val="both"/>
        <w:rPr>
          <w:rFonts w:ascii="Traditional Arabic" w:hAnsi="Traditional Arabic"/>
          <w:sz w:val="28"/>
          <w:szCs w:val="28"/>
          <w:rtl/>
        </w:rPr>
      </w:pPr>
      <w:r w:rsidRPr="00A972A1">
        <w:rPr>
          <w:rFonts w:ascii="Traditional Arabic" w:hAnsi="Traditional Arabic"/>
          <w:sz w:val="28"/>
          <w:szCs w:val="28"/>
          <w:rtl/>
        </w:rPr>
        <w:t>والعدد معتبر كالأعداد في الحدود لا يمكن أن يزاد فيها أو ينقص، لكن إذا عورض مفهوم هذا العدد بمنطوقٍ أقوى منه، عرفنا أنه لا مفهوم له، أو وجد من أجل التوفيق بين النصوص.</w:t>
      </w:r>
    </w:p>
    <w:p w14:paraId="668CCB1F" w14:textId="6F6CB99D" w:rsidR="00DB33AD" w:rsidRDefault="006E54DB" w:rsidP="006E54DB">
      <w:r w:rsidRPr="00A972A1">
        <w:rPr>
          <w:rFonts w:ascii="Traditional Arabic" w:hAnsi="Traditional Arabic" w:hint="cs"/>
          <w:sz w:val="28"/>
          <w:szCs w:val="28"/>
          <w:rtl/>
        </w:rPr>
        <w:t>كما يُلغى مفهوم العدد عند الجمع بين النصوص،</w:t>
      </w:r>
      <w:r>
        <w:rPr>
          <w:rFonts w:ascii="Traditional Arabic" w:hAnsi="Traditional Arabic" w:hint="cs"/>
          <w:sz w:val="28"/>
          <w:szCs w:val="28"/>
          <w:rtl/>
        </w:rPr>
        <w:t xml:space="preserve"> </w:t>
      </w:r>
      <w:r w:rsidRPr="00A972A1">
        <w:rPr>
          <w:rFonts w:ascii="Traditional Arabic" w:hAnsi="Traditional Arabic" w:hint="cs"/>
          <w:sz w:val="28"/>
          <w:szCs w:val="28"/>
          <w:rtl/>
        </w:rPr>
        <w:t>فمثل</w:t>
      </w:r>
      <w:r>
        <w:rPr>
          <w:rFonts w:ascii="Traditional Arabic" w:hAnsi="Traditional Arabic" w:hint="cs"/>
          <w:sz w:val="28"/>
          <w:szCs w:val="28"/>
          <w:rtl/>
        </w:rPr>
        <w:t>ً</w:t>
      </w:r>
      <w:r w:rsidRPr="00A972A1">
        <w:rPr>
          <w:rFonts w:ascii="Traditional Arabic" w:hAnsi="Traditional Arabic" w:hint="cs"/>
          <w:sz w:val="28"/>
          <w:szCs w:val="28"/>
          <w:rtl/>
        </w:rPr>
        <w:t xml:space="preserve">ا: </w:t>
      </w:r>
      <w:r w:rsidRPr="00A972A1">
        <w:rPr>
          <w:rFonts w:ascii="Traditional Arabic" w:hAnsi="Traditional Arabic"/>
          <w:sz w:val="28"/>
          <w:szCs w:val="28"/>
          <w:rtl/>
        </w:rPr>
        <w:t xml:space="preserve">جاء في صلاة الفذ، قال </w:t>
      </w:r>
      <w:r w:rsidRPr="00A972A1">
        <w:rPr>
          <w:rFonts w:ascii="Traditional Arabic" w:hAnsi="Traditional Arabic" w:hint="cs"/>
          <w:sz w:val="28"/>
          <w:szCs w:val="28"/>
          <w:rtl/>
        </w:rPr>
        <w:t>صلى الله عليه وسلم</w:t>
      </w:r>
      <w:r w:rsidRPr="00A972A1">
        <w:rPr>
          <w:rFonts w:ascii="Traditional Arabic" w:hAnsi="Traditional Arabic"/>
          <w:sz w:val="28"/>
          <w:szCs w:val="28"/>
          <w:rtl/>
        </w:rPr>
        <w:t xml:space="preserve">: </w:t>
      </w:r>
      <w:r w:rsidRPr="00AE2249">
        <w:rPr>
          <w:rFonts w:ascii="Traditional Arabic" w:hAnsi="Traditional Arabic"/>
          <w:color w:val="0000FF"/>
          <w:sz w:val="28"/>
          <w:szCs w:val="28"/>
          <w:rtl/>
        </w:rPr>
        <w:t>«صلاة الجماعة تفضل صلاة الفذ بخمس وعشرين»</w:t>
      </w:r>
      <w:r w:rsidRPr="00A972A1">
        <w:rPr>
          <w:rFonts w:ascii="Traditional Arabic" w:hAnsi="Traditional Arabic" w:hint="cs"/>
          <w:sz w:val="28"/>
          <w:szCs w:val="28"/>
          <w:rtl/>
        </w:rPr>
        <w:t xml:space="preserve"> </w:t>
      </w:r>
      <w:r w:rsidRPr="00A972A1">
        <w:rPr>
          <w:rFonts w:ascii="Traditional Arabic" w:hAnsi="Traditional Arabic" w:hint="cs"/>
          <w:sz w:val="20"/>
          <w:szCs w:val="20"/>
          <w:rtl/>
        </w:rPr>
        <w:t>[</w:t>
      </w:r>
      <w:r w:rsidRPr="00A972A1">
        <w:rPr>
          <w:rFonts w:ascii="Traditional Arabic" w:hAnsi="Traditional Arabic"/>
          <w:sz w:val="20"/>
          <w:szCs w:val="20"/>
          <w:rtl/>
        </w:rPr>
        <w:t>البخاري (646)</w:t>
      </w:r>
      <w:r w:rsidRPr="00A972A1">
        <w:rPr>
          <w:rFonts w:ascii="Traditional Arabic" w:hAnsi="Traditional Arabic" w:hint="cs"/>
          <w:sz w:val="20"/>
          <w:szCs w:val="20"/>
          <w:rtl/>
        </w:rPr>
        <w:t>]</w:t>
      </w:r>
      <w:r w:rsidRPr="00A972A1">
        <w:rPr>
          <w:rFonts w:ascii="Traditional Arabic" w:hAnsi="Traditional Arabic"/>
          <w:sz w:val="28"/>
          <w:szCs w:val="28"/>
          <w:rtl/>
        </w:rPr>
        <w:t xml:space="preserve"> وفي رواية حديث ابن عمر: </w:t>
      </w:r>
      <w:r w:rsidRPr="00AE2249">
        <w:rPr>
          <w:rFonts w:ascii="Traditional Arabic" w:hAnsi="Traditional Arabic"/>
          <w:color w:val="0000FF"/>
          <w:sz w:val="28"/>
          <w:szCs w:val="28"/>
          <w:rtl/>
        </w:rPr>
        <w:t>«بسبع وعشرين»</w:t>
      </w:r>
      <w:r w:rsidRPr="00A972A1">
        <w:rPr>
          <w:rFonts w:ascii="Traditional Arabic" w:hAnsi="Traditional Arabic" w:hint="cs"/>
          <w:sz w:val="28"/>
          <w:szCs w:val="28"/>
          <w:rtl/>
        </w:rPr>
        <w:t xml:space="preserve"> </w:t>
      </w:r>
      <w:r w:rsidRPr="00A972A1">
        <w:rPr>
          <w:rFonts w:ascii="Traditional Arabic" w:hAnsi="Traditional Arabic" w:hint="cs"/>
          <w:sz w:val="20"/>
          <w:szCs w:val="20"/>
          <w:rtl/>
        </w:rPr>
        <w:t>[</w:t>
      </w:r>
      <w:r w:rsidRPr="00A972A1">
        <w:rPr>
          <w:rFonts w:ascii="Traditional Arabic" w:hAnsi="Traditional Arabic"/>
          <w:sz w:val="20"/>
          <w:szCs w:val="20"/>
          <w:rtl/>
        </w:rPr>
        <w:t>البخاري (645)، ومسلم (650)</w:t>
      </w:r>
      <w:r w:rsidRPr="00A972A1">
        <w:rPr>
          <w:rFonts w:ascii="Traditional Arabic" w:hAnsi="Traditional Arabic" w:hint="cs"/>
          <w:sz w:val="20"/>
          <w:szCs w:val="20"/>
          <w:rtl/>
        </w:rPr>
        <w:t>]</w:t>
      </w:r>
      <w:r w:rsidRPr="00A972A1">
        <w:rPr>
          <w:rFonts w:ascii="Traditional Arabic" w:hAnsi="Traditional Arabic"/>
          <w:sz w:val="28"/>
          <w:szCs w:val="28"/>
          <w:rtl/>
        </w:rPr>
        <w:t xml:space="preserve">، قالوا: </w:t>
      </w:r>
      <w:r w:rsidRPr="00AE2249">
        <w:rPr>
          <w:rFonts w:ascii="Traditional Arabic" w:hAnsi="Traditional Arabic"/>
          <w:color w:val="0000FF"/>
          <w:sz w:val="28"/>
          <w:szCs w:val="28"/>
          <w:rtl/>
        </w:rPr>
        <w:t>«والحديث لا مفهوم له، إنما يراد بذلك الترغيب في صلاة الجماعة»</w:t>
      </w:r>
      <w:r w:rsidRPr="00A972A1">
        <w:rPr>
          <w:rFonts w:ascii="Traditional Arabic" w:hAnsi="Traditional Arabic"/>
          <w:sz w:val="28"/>
          <w:szCs w:val="28"/>
          <w:rtl/>
        </w:rPr>
        <w:t>، مع أنه حمل على أوجه صحيحة، فيقال: السبع والعشرون لمن صلى في المسجد، والخمس والعشرون لمن صلى في غيره، أو السبع والعشرون لمدرك الصلاة من أولها، والخمس والعشرون لمدرك بعضها، أو السبع والعشرون للبعيد عن المسجد، والخمس والعشرون للقريب، في أقوال كثيرة لأهل العلم.</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7E"/>
    <w:rsid w:val="00530D34"/>
    <w:rsid w:val="0058767E"/>
    <w:rsid w:val="00662FE5"/>
    <w:rsid w:val="006E515B"/>
    <w:rsid w:val="006E54DB"/>
    <w:rsid w:val="0095429D"/>
    <w:rsid w:val="00AE2249"/>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9B73D"/>
  <w15:chartTrackingRefBased/>
  <w15:docId w15:val="{E8E6A6C4-B004-41B3-B094-45DBCF50C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DB"/>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2021-07-21T16:25:00Z</dcterms:created>
  <dcterms:modified xsi:type="dcterms:W3CDTF">2021-07-23T10:52:00Z</dcterms:modified>
</cp:coreProperties>
</file>