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655" w:rsidRPr="000E2721" w:rsidRDefault="00A04655" w:rsidP="005F673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0E2721">
        <w:rPr>
          <w:rFonts w:ascii="Simplified Arabic" w:hAnsi="Simplified Arabic" w:cs="Simplified Arabic"/>
          <w:color w:val="0070C0"/>
          <w:sz w:val="28"/>
          <w:szCs w:val="28"/>
          <w:rtl/>
        </w:rPr>
        <w:t>ثأثير سلوك العالم على كتبه ومؤلفاته</w:t>
      </w:r>
    </w:p>
    <w:p w:rsidR="00A04655" w:rsidRPr="000E2721" w:rsidRDefault="00A04655" w:rsidP="005F673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0E2721">
        <w:rPr>
          <w:rFonts w:ascii="Simplified Arabic" w:hAnsi="Simplified Arabic" w:cs="Simplified Arabic"/>
          <w:color w:val="0070C0"/>
          <w:sz w:val="28"/>
          <w:szCs w:val="28"/>
          <w:rtl/>
        </w:rPr>
        <w:t>السير والتراجم</w:t>
      </w:r>
    </w:p>
    <w:p w:rsidR="00910DA5" w:rsidRDefault="00A04655" w:rsidP="005F673C">
      <w:pPr>
        <w:jc w:val="both"/>
      </w:pPr>
      <w:bookmarkStart w:id="0" w:name="_GoBack"/>
      <w:r w:rsidRPr="00865CA4">
        <w:rPr>
          <w:rFonts w:ascii="Simplified Arabic" w:hAnsi="Simplified Arabic" w:cs="Simplified Arabic"/>
          <w:sz w:val="28"/>
          <w:szCs w:val="28"/>
          <w:rtl/>
        </w:rPr>
        <w:t>الإمام القرطبي –رحمه الله- فيه نوع زهد و</w:t>
      </w:r>
      <w:r>
        <w:rPr>
          <w:rFonts w:ascii="Simplified Arabic" w:hAnsi="Simplified Arabic" w:cs="Simplified Arabic" w:hint="cs"/>
          <w:sz w:val="28"/>
          <w:szCs w:val="28"/>
          <w:rtl/>
        </w:rPr>
        <w:t>عزوف و</w:t>
      </w:r>
      <w:r>
        <w:rPr>
          <w:rFonts w:ascii="Simplified Arabic" w:hAnsi="Simplified Arabic" w:cs="Simplified Arabic"/>
          <w:sz w:val="28"/>
          <w:szCs w:val="28"/>
          <w:rtl/>
        </w:rPr>
        <w:t>بعد عن الدنيا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>أثَّر في كتابه ا</w:t>
      </w:r>
      <w:r>
        <w:rPr>
          <w:rFonts w:ascii="Simplified Arabic" w:hAnsi="Simplified Arabic" w:cs="Simplified Arabic"/>
          <w:sz w:val="28"/>
          <w:szCs w:val="28"/>
          <w:rtl/>
        </w:rPr>
        <w:t>لتفسير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>(الجامع لأحكام القرآن)،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>ولا شك أن مثل هذا السلوك 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ؤثِّر على الإنسان شاء أم أب</w:t>
      </w:r>
      <w:r>
        <w:rPr>
          <w:rFonts w:ascii="Simplified Arabic" w:hAnsi="Simplified Arabic" w:cs="Simplified Arabic" w:hint="cs"/>
          <w:sz w:val="28"/>
          <w:szCs w:val="28"/>
          <w:rtl/>
        </w:rPr>
        <w:t>ى،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 xml:space="preserve"> ولذا لو تقرأ في ترجمة راوٍ عند ابن حجر وعند النووي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رحمهما الله-،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تجد أن 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>النووي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رحمه الله- 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>يهتم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اهتمامًا بالغًا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 xml:space="preserve"> بعبادة هذا الرجل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 xml:space="preserve"> وأطرف ما قيل عنه في هذا الباب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لأنه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 xml:space="preserve"> زاهد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فأثر هذا في اهتمامه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>، لكن عناية ابن حجر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بتراجم الرواة 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>تختلف تمامًا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 النووي؛ لأنه إنما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>همه أن هذا الراوي ثقة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ليس بثقة،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 xml:space="preserve"> يصح حديثه أو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يصح، 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 xml:space="preserve">هذا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Pr="00865CA4">
        <w:rPr>
          <w:rFonts w:ascii="Simplified Arabic" w:hAnsi="Simplified Arabic" w:cs="Simplified Arabic"/>
          <w:sz w:val="28"/>
          <w:szCs w:val="28"/>
          <w:rtl/>
        </w:rPr>
        <w:t>محل عناية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ابن حجر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الله-.</w:t>
      </w:r>
      <w:bookmarkEnd w:id="0"/>
    </w:p>
    <w:sectPr w:rsidR="00910DA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648D67-5864-49A1-B47C-ED324B6FB9A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292E582-0D3D-4254-962A-2B461427A6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F75592C-FEAE-42AA-A873-F21CB759F3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6E74F40-4347-4090-BBD4-E512CF68AA5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86C13F6-E0B2-4C6D-A01B-F5838AC8AE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EE94599-EE4E-43EC-8116-4314E878E6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DD6"/>
    <w:rsid w:val="00480DD6"/>
    <w:rsid w:val="005F673C"/>
    <w:rsid w:val="0073647D"/>
    <w:rsid w:val="00910DA5"/>
    <w:rsid w:val="00A04655"/>
    <w:rsid w:val="00AB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81CA2C-88D3-4FFE-A476-1F140215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65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6</cp:revision>
  <cp:lastPrinted>2017-01-04T14:51:00Z</cp:lastPrinted>
  <dcterms:created xsi:type="dcterms:W3CDTF">2016-05-12T10:23:00Z</dcterms:created>
  <dcterms:modified xsi:type="dcterms:W3CDTF">2017-01-04T14:52:00Z</dcterms:modified>
</cp:coreProperties>
</file>