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5458" w:rsidRPr="00707E11" w:rsidRDefault="00085458" w:rsidP="001F2C24">
      <w:pPr>
        <w:framePr w:hSpace="180" w:wrap="around" w:vAnchor="text" w:hAnchor="margin" w:xAlign="center" w:y="258"/>
        <w:spacing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>
        <w:rPr>
          <w:rFonts w:ascii="Simplified Arabic" w:hAnsi="Simplified Arabic" w:cs="Simplified Arabic" w:hint="cs"/>
          <w:color w:val="0070C0"/>
          <w:sz w:val="28"/>
          <w:szCs w:val="28"/>
          <w:rtl/>
        </w:rPr>
        <w:t>تقديم العبادة على سبب وجوبها وأحوال ذلك</w:t>
      </w:r>
    </w:p>
    <w:p w:rsidR="00085458" w:rsidRPr="00707E11" w:rsidRDefault="00085458" w:rsidP="001F2C24">
      <w:pPr>
        <w:framePr w:hSpace="180" w:wrap="around" w:vAnchor="text" w:hAnchor="margin" w:xAlign="center" w:y="258"/>
        <w:spacing w:line="240" w:lineRule="atLeast"/>
        <w:suppressOverlap/>
        <w:jc w:val="center"/>
        <w:rPr>
          <w:rFonts w:ascii="Simplified Arabic" w:hAnsi="Simplified Arabic" w:cs="Simplified Arabic"/>
          <w:color w:val="0070C0"/>
          <w:sz w:val="28"/>
          <w:szCs w:val="28"/>
          <w:rtl/>
        </w:rPr>
      </w:pPr>
      <w:r w:rsidRPr="00707E11">
        <w:rPr>
          <w:rFonts w:ascii="Simplified Arabic" w:hAnsi="Simplified Arabic" w:cs="Simplified Arabic" w:hint="cs"/>
          <w:color w:val="0070C0"/>
          <w:sz w:val="28"/>
          <w:szCs w:val="28"/>
          <w:rtl/>
        </w:rPr>
        <w:t>أصول الفقه وقواعده</w:t>
      </w:r>
    </w:p>
    <w:p w:rsidR="004D193F" w:rsidRDefault="00085458" w:rsidP="001F2C24">
      <w:pPr>
        <w:jc w:val="both"/>
        <w:rPr>
          <w:lang w:bidi="ar-EG"/>
        </w:rPr>
      </w:pPr>
      <w:r w:rsidRPr="0023699C">
        <w:rPr>
          <w:rFonts w:ascii="Simplified Arabic" w:hAnsi="Simplified Arabic" w:cs="Simplified Arabic"/>
          <w:sz w:val="28"/>
          <w:szCs w:val="28"/>
          <w:rtl/>
        </w:rPr>
        <w:t>إذا كان</w:t>
      </w:r>
      <w:r>
        <w:rPr>
          <w:rFonts w:ascii="Simplified Arabic" w:hAnsi="Simplified Arabic" w:cs="Simplified Arabic" w:hint="cs"/>
          <w:sz w:val="28"/>
          <w:szCs w:val="28"/>
          <w:rtl/>
        </w:rPr>
        <w:t>ت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العبادة لها سبب وجوب ووقت وجوب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لا يجوز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تقديمها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على السبب اتفاقًا</w:t>
      </w:r>
      <w:r>
        <w:rPr>
          <w:rFonts w:ascii="Simplified Arabic" w:hAnsi="Simplified Arabic" w:cs="Simplified Arabic" w:hint="cs"/>
          <w:sz w:val="28"/>
          <w:szCs w:val="28"/>
          <w:rtl/>
        </w:rPr>
        <w:t>، ف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جزئ </w:t>
      </w:r>
      <w:r>
        <w:rPr>
          <w:rFonts w:ascii="Simplified Arabic" w:hAnsi="Simplified Arabic" w:cs="Simplified Arabic"/>
          <w:sz w:val="28"/>
          <w:szCs w:val="28"/>
          <w:rtl/>
        </w:rPr>
        <w:t>–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مثلًا-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تقديم الإطعام عن شهر رمضان، </w:t>
      </w:r>
      <w:r>
        <w:rPr>
          <w:rFonts w:ascii="Simplified Arabic" w:hAnsi="Simplified Arabic" w:cs="Simplified Arabic" w:hint="cs"/>
          <w:sz w:val="28"/>
          <w:szCs w:val="28"/>
          <w:rtl/>
        </w:rPr>
        <w:t>كأن تُخرج الكفارة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في شعبان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لأن سبب الوجوب الفطر، فلا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قدم الواجب على سببه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 xml:space="preserve"> ويجوز الت</w:t>
      </w:r>
      <w:r>
        <w:rPr>
          <w:rFonts w:ascii="Simplified Arabic" w:hAnsi="Simplified Arabic" w:cs="Simplified Arabic"/>
          <w:sz w:val="28"/>
          <w:szCs w:val="28"/>
          <w:rtl/>
        </w:rPr>
        <w:t>أخير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23699C">
        <w:rPr>
          <w:rFonts w:ascii="Simplified Arabic" w:hAnsi="Simplified Arabic" w:cs="Simplified Arabic"/>
          <w:sz w:val="28"/>
          <w:szCs w:val="28"/>
          <w:rtl/>
        </w:rPr>
        <w:t>وقت الوجوب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فتخرج بعده، ويجوز أيضًا أن تُ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خرج بين السبب والوقت، نظير ذلك من حلف على شيء ورأى أن غير المحلوف عليه خيرًا منه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و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أراد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كف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sz w:val="28"/>
          <w:szCs w:val="28"/>
          <w:rtl/>
        </w:rPr>
        <w:t>ف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يجوز له أن 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كف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ر</w:t>
      </w:r>
      <w:bookmarkStart w:id="0" w:name="_GoBack"/>
      <w:bookmarkEnd w:id="0"/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قبل الحنث، 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ويجوز له أن 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كف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بعد الحنث، لكن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لا يج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وز له أن 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ي</w:t>
      </w:r>
      <w:r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كف</w:t>
      </w:r>
      <w:r>
        <w:rPr>
          <w:rFonts w:ascii="Simplified Arabic" w:hAnsi="Simplified Arabic" w:cs="Simplified Arabic" w:hint="cs"/>
          <w:sz w:val="28"/>
          <w:szCs w:val="28"/>
          <w:rtl/>
        </w:rPr>
        <w:t>ّ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ر</w:t>
      </w:r>
      <w:r>
        <w:rPr>
          <w:rFonts w:ascii="Simplified Arabic" w:hAnsi="Simplified Arabic" w:cs="Simplified Arabic" w:hint="cs"/>
          <w:sz w:val="28"/>
          <w:szCs w:val="28"/>
          <w:rtl/>
        </w:rPr>
        <w:t xml:space="preserve"> قبل انعقاد اليمين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>؛ لأن انعقاد اليمين سبب الكفارة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ووقتها الحنث فلا يجوز قبل السبب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ويجوز بعد الحنث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ويجوز بينهما</w:t>
      </w:r>
      <w:r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Pr="00D9360F">
        <w:rPr>
          <w:rFonts w:ascii="Simplified Arabic" w:hAnsi="Simplified Arabic" w:cs="Simplified Arabic" w:hint="cs"/>
          <w:sz w:val="28"/>
          <w:szCs w:val="28"/>
          <w:rtl/>
        </w:rPr>
        <w:t xml:space="preserve"> على ما جاء في الحديث </w:t>
      </w:r>
      <w:r w:rsidRPr="00D9360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</w:t>
      </w:r>
      <w:r w:rsidRPr="00D9360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إِنِّي وَاللَّهِ إِنْ شَاءَ اللَّهُ لَا أَحْلِفُ عَلَى يَمِينٍ فَأَرَى غَيْرَهَا خَيْرًا مِنْهَا إِلَّا كَفَّرْتُ عَنْ يَمِينِي وَأَتَيْتُ الَّذِي هُوَ خَيْرٌ</w:t>
      </w:r>
      <w:r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، </w:t>
      </w:r>
      <w:r w:rsidRPr="00D9360F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  <w:lang w:bidi="ar-EG"/>
        </w:rPr>
        <w:t>أَوْ أَتَيْتُ الَّذِي هُوَ خَيْرٌ وَكَفَّرْتُ عَنْ يَمِينِي</w:t>
      </w:r>
      <w:r w:rsidRPr="00D9360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 xml:space="preserve">» </w:t>
      </w:r>
      <w:r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[البخاري: 6623].</w:t>
      </w:r>
    </w:p>
    <w:sectPr w:rsidR="004D193F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4B13DA3-9E47-41D5-830C-3BFAF059855C}"/>
    <w:embedBold r:id="rId2" w:fontKey="{E10A11FC-B35A-45A7-AABD-04090F747F3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B8C11877-521B-4C03-99AA-754D1F9477D5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B3EA86D-0E0B-419C-B8E6-5162852FB9D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6B7D6AB9-F962-4661-B5AB-75F785E25C7F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10829472-2459-48DA-B29B-D996947F7237}"/>
    <w:embedBold r:id="rId7" w:fontKey="{3975E862-F711-44FF-BEC8-C46F81D122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3ADEC181-96C0-416E-8888-AFC15A7F63C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42C6"/>
    <w:rsid w:val="00085458"/>
    <w:rsid w:val="001F2C24"/>
    <w:rsid w:val="004D193F"/>
    <w:rsid w:val="0073647D"/>
    <w:rsid w:val="0085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A803FE2-1D4B-4BD6-94DF-C68027180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5458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4</cp:revision>
  <dcterms:created xsi:type="dcterms:W3CDTF">2016-05-11T11:20:00Z</dcterms:created>
  <dcterms:modified xsi:type="dcterms:W3CDTF">2017-01-02T13:05:00Z</dcterms:modified>
</cp:coreProperties>
</file>